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541" w:rsidRDefault="00540541"/>
    <w:p w:rsidR="00B97D75" w:rsidRDefault="00B97D75" w:rsidP="00B97D75">
      <w:pPr>
        <w:jc w:val="right"/>
        <w:rPr>
          <w:rFonts w:ascii="Arial" w:hAnsi="Arial" w:cs="Arial"/>
          <w:color w:val="05486C"/>
          <w:sz w:val="56"/>
          <w:szCs w:val="56"/>
        </w:rPr>
      </w:pPr>
    </w:p>
    <w:p w:rsidR="00B97D75" w:rsidRDefault="003A308A" w:rsidP="00B97D75">
      <w:pPr>
        <w:jc w:val="right"/>
        <w:rPr>
          <w:rFonts w:ascii="Arial" w:hAnsi="Arial" w:cs="Arial"/>
          <w:color w:val="05486C"/>
          <w:sz w:val="56"/>
          <w:szCs w:val="56"/>
        </w:rPr>
      </w:pPr>
      <w:r w:rsidRPr="003A308A">
        <w:rPr>
          <w:rFonts w:ascii="Arial" w:hAnsi="Arial" w:cs="Arial"/>
          <w:color w:val="05486C"/>
          <w:sz w:val="56"/>
          <w:szCs w:val="56"/>
        </w:rPr>
        <w:t>Safeguarding with Science: Glyphosate Testing in 2015-2016</w:t>
      </w: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B97D75">
      <w:pPr>
        <w:jc w:val="right"/>
        <w:rPr>
          <w:rFonts w:ascii="Arial" w:hAnsi="Arial" w:cs="Arial"/>
          <w:color w:val="05486C"/>
          <w:sz w:val="56"/>
          <w:szCs w:val="56"/>
        </w:rPr>
      </w:pPr>
    </w:p>
    <w:p w:rsidR="00007B4E" w:rsidRDefault="00007B4E" w:rsidP="00007B4E">
      <w:pPr>
        <w:spacing w:after="0"/>
        <w:jc w:val="right"/>
        <w:rPr>
          <w:rFonts w:ascii="Arial" w:hAnsi="Arial" w:cs="Arial"/>
          <w:color w:val="05486C"/>
          <w:sz w:val="32"/>
          <w:szCs w:val="32"/>
        </w:rPr>
      </w:pPr>
    </w:p>
    <w:p w:rsidR="00007B4E" w:rsidRPr="00007B4E" w:rsidRDefault="00007B4E" w:rsidP="00007B4E">
      <w:pPr>
        <w:spacing w:after="0"/>
        <w:jc w:val="right"/>
        <w:rPr>
          <w:rFonts w:ascii="Arial" w:hAnsi="Arial" w:cs="Arial"/>
          <w:color w:val="05486C"/>
          <w:sz w:val="32"/>
          <w:szCs w:val="32"/>
        </w:rPr>
      </w:pPr>
      <w:r w:rsidRPr="00007B4E">
        <w:rPr>
          <w:rFonts w:ascii="Arial" w:hAnsi="Arial" w:cs="Arial"/>
          <w:color w:val="05486C"/>
          <w:sz w:val="32"/>
          <w:szCs w:val="32"/>
        </w:rPr>
        <w:t>CFIA- Science Branch Survey Report</w:t>
      </w:r>
    </w:p>
    <w:p w:rsidR="00007B4E" w:rsidRPr="00007B4E" w:rsidRDefault="00007B4E" w:rsidP="00007B4E">
      <w:pPr>
        <w:spacing w:after="0" w:line="240" w:lineRule="auto"/>
        <w:jc w:val="right"/>
        <w:rPr>
          <w:rFonts w:ascii="Arial" w:hAnsi="Arial" w:cs="Arial"/>
          <w:color w:val="05486C"/>
          <w:sz w:val="24"/>
          <w:szCs w:val="24"/>
        </w:rPr>
      </w:pPr>
      <w:r w:rsidRPr="00007B4E">
        <w:rPr>
          <w:rFonts w:ascii="Arial" w:hAnsi="Arial" w:cs="Arial"/>
          <w:color w:val="05486C"/>
          <w:sz w:val="24"/>
          <w:szCs w:val="24"/>
        </w:rPr>
        <w:t>Food Safety Science Directorate</w:t>
      </w:r>
    </w:p>
    <w:p w:rsidR="00007B4E" w:rsidRPr="00007B4E" w:rsidRDefault="00007B4E" w:rsidP="00007B4E">
      <w:pPr>
        <w:spacing w:after="0" w:line="240" w:lineRule="auto"/>
        <w:jc w:val="right"/>
        <w:rPr>
          <w:rFonts w:ascii="Arial" w:hAnsi="Arial" w:cs="Arial"/>
          <w:color w:val="05486C"/>
          <w:sz w:val="24"/>
          <w:szCs w:val="24"/>
        </w:rPr>
      </w:pPr>
      <w:r w:rsidRPr="00007B4E">
        <w:rPr>
          <w:rFonts w:ascii="Arial" w:hAnsi="Arial" w:cs="Arial"/>
          <w:color w:val="05486C"/>
          <w:sz w:val="24"/>
          <w:szCs w:val="24"/>
        </w:rPr>
        <w:t>Canadian Food Inspection Agency</w:t>
      </w:r>
    </w:p>
    <w:p w:rsidR="00007B4E" w:rsidRPr="00007B4E" w:rsidRDefault="00007B4E" w:rsidP="00007B4E">
      <w:pPr>
        <w:spacing w:after="0" w:line="240" w:lineRule="auto"/>
        <w:jc w:val="right"/>
        <w:rPr>
          <w:rFonts w:ascii="Arial" w:hAnsi="Arial" w:cs="Arial"/>
          <w:color w:val="05486C"/>
          <w:sz w:val="24"/>
          <w:szCs w:val="24"/>
        </w:rPr>
      </w:pPr>
      <w:r w:rsidRPr="00007B4E">
        <w:rPr>
          <w:rFonts w:ascii="Arial" w:hAnsi="Arial" w:cs="Arial"/>
          <w:color w:val="05486C"/>
          <w:sz w:val="24"/>
          <w:szCs w:val="24"/>
        </w:rPr>
        <w:t>1400 Merivale Road</w:t>
      </w:r>
    </w:p>
    <w:p w:rsidR="00007B4E" w:rsidRPr="00007B4E" w:rsidRDefault="00007B4E" w:rsidP="00007B4E">
      <w:pPr>
        <w:spacing w:after="0" w:line="240" w:lineRule="auto"/>
        <w:jc w:val="right"/>
        <w:rPr>
          <w:rFonts w:ascii="Arial" w:hAnsi="Arial" w:cs="Arial"/>
          <w:color w:val="05486C"/>
          <w:sz w:val="24"/>
          <w:szCs w:val="24"/>
        </w:rPr>
      </w:pPr>
      <w:r w:rsidRPr="00007B4E">
        <w:rPr>
          <w:rFonts w:ascii="Arial" w:hAnsi="Arial" w:cs="Arial"/>
          <w:color w:val="05486C"/>
          <w:sz w:val="24"/>
          <w:szCs w:val="24"/>
        </w:rPr>
        <w:t>Ottawa</w:t>
      </w:r>
      <w:r>
        <w:rPr>
          <w:rFonts w:ascii="Arial" w:hAnsi="Arial" w:cs="Arial"/>
          <w:color w:val="05486C"/>
          <w:sz w:val="24"/>
          <w:szCs w:val="24"/>
        </w:rPr>
        <w:t>,</w:t>
      </w:r>
      <w:r w:rsidRPr="00007B4E">
        <w:rPr>
          <w:rFonts w:ascii="Arial" w:hAnsi="Arial" w:cs="Arial"/>
          <w:color w:val="05486C"/>
          <w:sz w:val="24"/>
          <w:szCs w:val="24"/>
        </w:rPr>
        <w:t xml:space="preserve"> Ontario Canada</w:t>
      </w:r>
    </w:p>
    <w:p w:rsidR="00007B4E" w:rsidRPr="00007B4E" w:rsidRDefault="00007B4E" w:rsidP="00007B4E">
      <w:pPr>
        <w:spacing w:after="0" w:line="240" w:lineRule="auto"/>
        <w:jc w:val="right"/>
        <w:rPr>
          <w:rFonts w:ascii="Arial" w:hAnsi="Arial" w:cs="Arial"/>
          <w:color w:val="05486C"/>
          <w:sz w:val="24"/>
          <w:szCs w:val="24"/>
        </w:rPr>
      </w:pPr>
      <w:r w:rsidRPr="00007B4E">
        <w:rPr>
          <w:rFonts w:ascii="Arial" w:hAnsi="Arial" w:cs="Arial"/>
          <w:color w:val="05486C"/>
          <w:sz w:val="24"/>
          <w:szCs w:val="24"/>
        </w:rPr>
        <w:t>K1A 0Y9</w:t>
      </w:r>
    </w:p>
    <w:p w:rsidR="00007B4E" w:rsidRPr="00007B4E" w:rsidRDefault="00B97D75" w:rsidP="00007B4E">
      <w:pPr>
        <w:pStyle w:val="Heading1"/>
        <w:numPr>
          <w:ilvl w:val="0"/>
          <w:numId w:val="0"/>
        </w:numPr>
        <w:ind w:left="432" w:hanging="432"/>
        <w:jc w:val="both"/>
        <w:rPr>
          <w:sz w:val="36"/>
          <w:szCs w:val="36"/>
        </w:rPr>
      </w:pPr>
      <w:r>
        <w:br w:type="page"/>
      </w:r>
      <w:bookmarkStart w:id="0" w:name="_Toc463001162"/>
      <w:bookmarkStart w:id="1" w:name="_Toc468264743"/>
      <w:r w:rsidR="00007B4E" w:rsidRPr="00007B4E">
        <w:rPr>
          <w:sz w:val="36"/>
          <w:szCs w:val="36"/>
        </w:rPr>
        <w:lastRenderedPageBreak/>
        <w:t>Introduction</w:t>
      </w:r>
      <w:bookmarkEnd w:id="0"/>
      <w:bookmarkEnd w:id="1"/>
    </w:p>
    <w:p w:rsidR="00007B4E" w:rsidRPr="00007B4E" w:rsidRDefault="00007B4E" w:rsidP="00007B4E">
      <w:pPr>
        <w:rPr>
          <w:rFonts w:ascii="Arial" w:eastAsia="Times New Roman" w:hAnsi="Arial" w:cs="Arial"/>
          <w:sz w:val="24"/>
          <w:szCs w:val="24"/>
          <w:lang w:eastAsia="en-CA"/>
        </w:rPr>
      </w:pPr>
      <w:r w:rsidRPr="00007B4E">
        <w:rPr>
          <w:rFonts w:ascii="Arial" w:hAnsi="Arial" w:cs="Arial"/>
          <w:sz w:val="24"/>
          <w:szCs w:val="24"/>
        </w:rPr>
        <w:t xml:space="preserve">Chemical hazards may occur in foods either from their deliberate use in food production (e.g. veterinary drugs, pesticides, food additives) or by accidental contamination from the environment, during processing, or due to the presence of natural toxins. Regardless of the source of the hazard, food producers, manufacturers and importers must ensure their products are safe to eat and compliant with applicable Canadian standards. </w:t>
      </w:r>
      <w:r w:rsidRPr="00007B4E">
        <w:rPr>
          <w:rFonts w:ascii="Arial" w:eastAsia="Times New Roman" w:hAnsi="Arial" w:cs="Arial"/>
          <w:sz w:val="24"/>
          <w:szCs w:val="24"/>
          <w:lang w:eastAsia="en-CA"/>
        </w:rPr>
        <w:t xml:space="preserve">The Canadian Food Inspection Agency's (CFIA) priority is to protect consumers by safeguarding Canada's food supply. Testing foods for pesticides is one of the tools used by the CFIA to detect food safety risks and ensure that the food supply is safe. </w:t>
      </w:r>
    </w:p>
    <w:p w:rsidR="00007B4E" w:rsidRPr="00007B4E" w:rsidRDefault="00007B4E" w:rsidP="00007B4E">
      <w:pPr>
        <w:pStyle w:val="Heading1"/>
        <w:numPr>
          <w:ilvl w:val="0"/>
          <w:numId w:val="0"/>
        </w:numPr>
        <w:spacing w:before="0" w:after="0"/>
        <w:ind w:left="432" w:hanging="432"/>
        <w:jc w:val="both"/>
        <w:rPr>
          <w:sz w:val="36"/>
          <w:szCs w:val="36"/>
        </w:rPr>
      </w:pPr>
      <w:bookmarkStart w:id="2" w:name="_Toc468264744"/>
      <w:r w:rsidRPr="00007B4E">
        <w:rPr>
          <w:sz w:val="36"/>
          <w:szCs w:val="36"/>
        </w:rPr>
        <w:t>Glyphosate Testing</w:t>
      </w:r>
      <w:bookmarkEnd w:id="2"/>
    </w:p>
    <w:p w:rsidR="00007B4E" w:rsidRPr="00007B4E" w:rsidRDefault="00007B4E" w:rsidP="00007B4E">
      <w:pPr>
        <w:pStyle w:val="Heading2"/>
        <w:numPr>
          <w:ilvl w:val="0"/>
          <w:numId w:val="0"/>
        </w:numPr>
        <w:ind w:left="576" w:hanging="576"/>
        <w:rPr>
          <w:i w:val="0"/>
        </w:rPr>
      </w:pPr>
      <w:bookmarkStart w:id="3" w:name="_Toc468264745"/>
      <w:r w:rsidRPr="00007B4E">
        <w:rPr>
          <w:i w:val="0"/>
        </w:rPr>
        <w:t>Objective and Rationale</w:t>
      </w:r>
      <w:bookmarkEnd w:id="3"/>
    </w:p>
    <w:p w:rsidR="00007B4E" w:rsidRPr="00007B4E" w:rsidRDefault="00007B4E" w:rsidP="00007B4E">
      <w:pPr>
        <w:spacing w:before="240"/>
        <w:rPr>
          <w:rFonts w:ascii="Arial" w:hAnsi="Arial" w:cs="Arial"/>
          <w:sz w:val="24"/>
          <w:szCs w:val="24"/>
        </w:rPr>
      </w:pPr>
      <w:r w:rsidRPr="00007B4E">
        <w:rPr>
          <w:rFonts w:ascii="Arial" w:hAnsi="Arial" w:cs="Arial"/>
          <w:sz w:val="24"/>
          <w:szCs w:val="24"/>
        </w:rPr>
        <w:t xml:space="preserve">Glyphosate is </w:t>
      </w:r>
      <w:bookmarkStart w:id="4" w:name="_GoBack"/>
      <w:bookmarkEnd w:id="4"/>
      <w:r w:rsidR="00A57236" w:rsidRPr="00007B4E">
        <w:rPr>
          <w:rFonts w:ascii="Arial" w:hAnsi="Arial" w:cs="Arial"/>
          <w:sz w:val="24"/>
          <w:szCs w:val="24"/>
        </w:rPr>
        <w:t>an</w:t>
      </w:r>
      <w:r w:rsidRPr="00007B4E">
        <w:rPr>
          <w:rFonts w:ascii="Arial" w:hAnsi="Arial" w:cs="Arial"/>
          <w:sz w:val="24"/>
          <w:szCs w:val="24"/>
        </w:rPr>
        <w:t xml:space="preserve"> herbicide that is used to kill weeds and it can also be used to dry grains and legumes before harvesting. Health Canada has approved its use on a variety of crops and has set Maximum Residue Limits (MRL) for residues of glyphosate in foods which can be found in their </w:t>
      </w:r>
      <w:hyperlink r:id="rId9" w:history="1">
        <w:r w:rsidRPr="00007B4E">
          <w:rPr>
            <w:rStyle w:val="Hyperlink"/>
            <w:rFonts w:ascii="Arial" w:hAnsi="Arial" w:cs="Arial"/>
            <w:sz w:val="24"/>
            <w:szCs w:val="24"/>
          </w:rPr>
          <w:t>MRL Database</w:t>
        </w:r>
      </w:hyperlink>
      <w:r w:rsidRPr="00007B4E">
        <w:rPr>
          <w:rFonts w:ascii="Arial" w:hAnsi="Arial" w:cs="Arial"/>
          <w:sz w:val="24"/>
          <w:szCs w:val="24"/>
        </w:rPr>
        <w:t xml:space="preserve">. The MRL is the amount of pesticide residue that is expected to remain in or on a food product when a pesticide is used according to the label directions and which will not be a concern to human health. </w:t>
      </w:r>
    </w:p>
    <w:p w:rsidR="00007B4E" w:rsidRPr="00007B4E" w:rsidRDefault="00007B4E" w:rsidP="00007B4E">
      <w:pPr>
        <w:jc w:val="both"/>
        <w:rPr>
          <w:rFonts w:ascii="Arial" w:hAnsi="Arial" w:cs="Arial"/>
          <w:sz w:val="24"/>
          <w:szCs w:val="24"/>
        </w:rPr>
      </w:pPr>
      <w:r w:rsidRPr="00007B4E">
        <w:rPr>
          <w:rFonts w:ascii="Arial" w:hAnsi="Arial" w:cs="Arial"/>
          <w:sz w:val="24"/>
          <w:szCs w:val="24"/>
        </w:rPr>
        <w:t>These testing activities were designed to:</w:t>
      </w:r>
    </w:p>
    <w:p w:rsidR="00007B4E" w:rsidRPr="00007B4E" w:rsidRDefault="00007B4E" w:rsidP="00007B4E">
      <w:pPr>
        <w:pStyle w:val="ListParagraph"/>
        <w:numPr>
          <w:ilvl w:val="0"/>
          <w:numId w:val="3"/>
        </w:numPr>
        <w:spacing w:after="0"/>
        <w:jc w:val="both"/>
        <w:rPr>
          <w:rFonts w:ascii="Arial" w:hAnsi="Arial" w:cs="Arial"/>
          <w:sz w:val="24"/>
          <w:szCs w:val="24"/>
        </w:rPr>
      </w:pPr>
      <w:r w:rsidRPr="00007B4E">
        <w:rPr>
          <w:rFonts w:ascii="Arial" w:hAnsi="Arial" w:cs="Arial"/>
          <w:sz w:val="24"/>
          <w:szCs w:val="24"/>
        </w:rPr>
        <w:t xml:space="preserve">generate information on the presence and levels of glyphosate residues in foods; </w:t>
      </w:r>
    </w:p>
    <w:p w:rsidR="00007B4E" w:rsidRPr="00007B4E" w:rsidRDefault="00007B4E" w:rsidP="00007B4E">
      <w:pPr>
        <w:pStyle w:val="ListParagraph"/>
        <w:numPr>
          <w:ilvl w:val="0"/>
          <w:numId w:val="3"/>
        </w:numPr>
        <w:spacing w:after="0"/>
        <w:jc w:val="both"/>
        <w:rPr>
          <w:rFonts w:ascii="Arial" w:hAnsi="Arial" w:cs="Arial"/>
          <w:sz w:val="24"/>
          <w:szCs w:val="24"/>
        </w:rPr>
      </w:pPr>
      <w:proofErr w:type="gramStart"/>
      <w:r w:rsidRPr="00007B4E">
        <w:rPr>
          <w:rFonts w:ascii="Arial" w:hAnsi="Arial" w:cs="Arial"/>
          <w:sz w:val="24"/>
          <w:szCs w:val="24"/>
        </w:rPr>
        <w:t>verify</w:t>
      </w:r>
      <w:proofErr w:type="gramEnd"/>
      <w:r w:rsidRPr="00007B4E">
        <w:rPr>
          <w:rFonts w:ascii="Arial" w:hAnsi="Arial" w:cs="Arial"/>
          <w:sz w:val="24"/>
          <w:szCs w:val="24"/>
        </w:rPr>
        <w:t xml:space="preserve"> the safety of  the food supply and compliance with Canadian standards.</w:t>
      </w:r>
    </w:p>
    <w:p w:rsidR="00007B4E" w:rsidRDefault="00007B4E" w:rsidP="00007B4E">
      <w:pPr>
        <w:pStyle w:val="Heading2"/>
        <w:numPr>
          <w:ilvl w:val="0"/>
          <w:numId w:val="0"/>
        </w:numPr>
        <w:spacing w:before="0" w:after="0"/>
        <w:ind w:left="576" w:hanging="576"/>
        <w:jc w:val="both"/>
        <w:rPr>
          <w:i w:val="0"/>
        </w:rPr>
      </w:pPr>
      <w:bookmarkStart w:id="5" w:name="_Toc468264746"/>
    </w:p>
    <w:p w:rsidR="00007B4E" w:rsidRPr="00007B4E" w:rsidRDefault="00007B4E" w:rsidP="00007B4E">
      <w:pPr>
        <w:pStyle w:val="Heading2"/>
        <w:numPr>
          <w:ilvl w:val="0"/>
          <w:numId w:val="0"/>
        </w:numPr>
        <w:spacing w:before="0" w:after="0"/>
        <w:ind w:left="576" w:hanging="576"/>
        <w:jc w:val="both"/>
        <w:rPr>
          <w:i w:val="0"/>
          <w:sz w:val="30"/>
          <w:szCs w:val="30"/>
        </w:rPr>
      </w:pPr>
      <w:r w:rsidRPr="00007B4E">
        <w:rPr>
          <w:i w:val="0"/>
        </w:rPr>
        <w:t>Sample Collection</w:t>
      </w:r>
      <w:bookmarkEnd w:id="5"/>
    </w:p>
    <w:p w:rsidR="00007B4E" w:rsidRPr="00007B4E" w:rsidRDefault="00007B4E" w:rsidP="00007B4E">
      <w:pPr>
        <w:spacing w:before="240" w:after="0"/>
        <w:rPr>
          <w:rFonts w:ascii="Arial" w:eastAsia="Times New Roman" w:hAnsi="Arial" w:cs="Arial"/>
          <w:sz w:val="24"/>
          <w:szCs w:val="24"/>
          <w:lang w:eastAsia="en-CA"/>
        </w:rPr>
      </w:pPr>
      <w:r w:rsidRPr="00007B4E">
        <w:rPr>
          <w:rFonts w:ascii="Arial" w:eastAsia="Times New Roman" w:hAnsi="Arial" w:cs="Arial"/>
          <w:sz w:val="24"/>
          <w:szCs w:val="24"/>
          <w:lang w:eastAsia="en-CA"/>
        </w:rPr>
        <w:t>Testing for Glyphosate residues was added to the CFIA's food surveillance program in 2015. In 2015-2016, 3188 samples of domestic and imported food products were collected and tested for glyphosate residues in three programs:</w:t>
      </w:r>
    </w:p>
    <w:p w:rsidR="00007B4E" w:rsidRPr="00007B4E" w:rsidRDefault="00007B4E" w:rsidP="00007B4E">
      <w:pPr>
        <w:pStyle w:val="ListParagraph"/>
        <w:numPr>
          <w:ilvl w:val="0"/>
          <w:numId w:val="1"/>
        </w:numPr>
        <w:spacing w:after="0"/>
        <w:rPr>
          <w:rFonts w:ascii="Arial" w:eastAsia="Times New Roman" w:hAnsi="Arial" w:cs="Arial"/>
          <w:sz w:val="24"/>
          <w:szCs w:val="24"/>
          <w:lang w:eastAsia="en-CA"/>
        </w:rPr>
      </w:pPr>
      <w:r w:rsidRPr="00007B4E">
        <w:rPr>
          <w:rFonts w:ascii="Arial" w:eastAsia="Times New Roman" w:hAnsi="Arial" w:cs="Arial"/>
          <w:sz w:val="24"/>
          <w:szCs w:val="24"/>
          <w:lang w:eastAsia="en-CA"/>
        </w:rPr>
        <w:t xml:space="preserve">Testing of 482 samples of fresh and processed fruits and vegetables as part of the National Chemical Residue Monitoring Program (NCRMP); </w:t>
      </w:r>
    </w:p>
    <w:p w:rsidR="00007B4E" w:rsidRPr="00007B4E" w:rsidRDefault="00007B4E" w:rsidP="00007B4E">
      <w:pPr>
        <w:pStyle w:val="ListParagraph"/>
        <w:numPr>
          <w:ilvl w:val="0"/>
          <w:numId w:val="1"/>
        </w:numPr>
        <w:spacing w:after="0"/>
        <w:rPr>
          <w:rFonts w:ascii="Arial" w:eastAsia="Times New Roman" w:hAnsi="Arial" w:cs="Arial"/>
          <w:sz w:val="24"/>
          <w:szCs w:val="24"/>
          <w:lang w:eastAsia="en-CA"/>
        </w:rPr>
      </w:pPr>
      <w:r w:rsidRPr="00007B4E">
        <w:rPr>
          <w:rFonts w:ascii="Arial" w:eastAsia="Times New Roman" w:hAnsi="Arial" w:cs="Arial"/>
          <w:sz w:val="24"/>
          <w:szCs w:val="24"/>
          <w:lang w:eastAsia="en-CA"/>
        </w:rPr>
        <w:t>Retail survey of 2497 samples of grains (barley, buckwheat, and quinoa), beverages, bean, pea, lentil, chickpea and soy products;</w:t>
      </w:r>
    </w:p>
    <w:p w:rsidR="00007B4E" w:rsidRPr="00007B4E" w:rsidRDefault="00007B4E" w:rsidP="00007B4E">
      <w:pPr>
        <w:pStyle w:val="ListParagraph"/>
        <w:numPr>
          <w:ilvl w:val="0"/>
          <w:numId w:val="1"/>
        </w:numPr>
        <w:spacing w:after="0"/>
        <w:rPr>
          <w:rFonts w:ascii="Arial" w:eastAsia="Times New Roman" w:hAnsi="Arial" w:cs="Arial"/>
          <w:sz w:val="24"/>
          <w:szCs w:val="24"/>
          <w:lang w:eastAsia="en-CA"/>
        </w:rPr>
      </w:pPr>
      <w:r w:rsidRPr="00007B4E">
        <w:rPr>
          <w:rFonts w:ascii="Arial" w:eastAsia="Times New Roman" w:hAnsi="Arial" w:cs="Arial"/>
          <w:sz w:val="24"/>
          <w:szCs w:val="24"/>
          <w:lang w:eastAsia="en-CA"/>
        </w:rPr>
        <w:t xml:space="preserve">A survey of over 209 retail samples of infant foods as part of the 2015-2016 Children's Food Project. </w:t>
      </w:r>
    </w:p>
    <w:p w:rsidR="00007B4E" w:rsidRPr="00007B4E" w:rsidRDefault="00007B4E" w:rsidP="00007B4E">
      <w:pPr>
        <w:pStyle w:val="ListParagraph"/>
        <w:spacing w:after="0"/>
        <w:rPr>
          <w:rFonts w:ascii="Arial" w:eastAsia="Times New Roman" w:hAnsi="Arial" w:cs="Arial"/>
          <w:lang w:eastAsia="en-CA"/>
        </w:rPr>
      </w:pPr>
    </w:p>
    <w:p w:rsidR="00007B4E" w:rsidRPr="00007B4E" w:rsidRDefault="00007B4E" w:rsidP="00007B4E">
      <w:pPr>
        <w:pStyle w:val="Heading2"/>
        <w:numPr>
          <w:ilvl w:val="0"/>
          <w:numId w:val="0"/>
        </w:numPr>
        <w:spacing w:before="0" w:after="0"/>
        <w:ind w:left="576" w:hanging="576"/>
        <w:jc w:val="both"/>
        <w:rPr>
          <w:i w:val="0"/>
          <w:sz w:val="30"/>
          <w:szCs w:val="30"/>
        </w:rPr>
      </w:pPr>
      <w:bookmarkStart w:id="6" w:name="_Toc468264747"/>
      <w:r w:rsidRPr="00007B4E">
        <w:rPr>
          <w:i w:val="0"/>
        </w:rPr>
        <w:lastRenderedPageBreak/>
        <w:t>Limitations</w:t>
      </w:r>
      <w:bookmarkEnd w:id="6"/>
    </w:p>
    <w:p w:rsidR="00007B4E" w:rsidRPr="00007B4E" w:rsidRDefault="00007B4E" w:rsidP="00007B4E">
      <w:pPr>
        <w:spacing w:before="240"/>
        <w:jc w:val="both"/>
        <w:rPr>
          <w:rFonts w:ascii="Arial" w:hAnsi="Arial" w:cs="Arial"/>
          <w:sz w:val="24"/>
          <w:szCs w:val="24"/>
        </w:rPr>
      </w:pPr>
      <w:r w:rsidRPr="00007B4E">
        <w:rPr>
          <w:rFonts w:ascii="Arial" w:hAnsi="Arial" w:cs="Arial"/>
          <w:sz w:val="24"/>
          <w:szCs w:val="24"/>
        </w:rPr>
        <w:t>Due to the low number of samples and products analyzed</w:t>
      </w:r>
      <w:r w:rsidR="00164164">
        <w:rPr>
          <w:rFonts w:ascii="Arial" w:hAnsi="Arial" w:cs="Arial"/>
          <w:sz w:val="24"/>
          <w:szCs w:val="24"/>
        </w:rPr>
        <w:t>,</w:t>
      </w:r>
      <w:r w:rsidRPr="00007B4E">
        <w:rPr>
          <w:rFonts w:ascii="Arial" w:hAnsi="Arial" w:cs="Arial"/>
          <w:sz w:val="24"/>
          <w:szCs w:val="24"/>
        </w:rPr>
        <w:t xml:space="preserve"> care must be taken when interpreting these results. Regional differences, impact of product shelf-life, storage conditions, or cost of the commodity on the open market were not examined in this survey.</w:t>
      </w:r>
    </w:p>
    <w:p w:rsidR="00007B4E" w:rsidRPr="00007B4E" w:rsidRDefault="00007B4E" w:rsidP="00007B4E">
      <w:pPr>
        <w:rPr>
          <w:rFonts w:ascii="Arial" w:hAnsi="Arial" w:cs="Arial"/>
          <w:sz w:val="24"/>
          <w:szCs w:val="24"/>
        </w:rPr>
      </w:pPr>
      <w:r w:rsidRPr="00007B4E">
        <w:rPr>
          <w:rFonts w:ascii="Arial" w:hAnsi="Arial" w:cs="Arial"/>
          <w:sz w:val="24"/>
          <w:szCs w:val="24"/>
        </w:rPr>
        <w:t>Samples were tested as sold; no inference can be made on the levels of glyphosate in foods as consumed.</w:t>
      </w:r>
    </w:p>
    <w:p w:rsidR="00007B4E" w:rsidRPr="00007B4E" w:rsidRDefault="00007B4E" w:rsidP="00007B4E">
      <w:pPr>
        <w:pStyle w:val="Heading2"/>
        <w:numPr>
          <w:ilvl w:val="0"/>
          <w:numId w:val="0"/>
        </w:numPr>
        <w:spacing w:before="0" w:after="0"/>
        <w:ind w:left="576" w:hanging="576"/>
        <w:jc w:val="both"/>
      </w:pPr>
      <w:bookmarkStart w:id="7" w:name="_Toc463001168"/>
      <w:bookmarkStart w:id="8" w:name="_Toc468264748"/>
      <w:r w:rsidRPr="00007B4E">
        <w:rPr>
          <w:i w:val="0"/>
        </w:rPr>
        <w:t>Assessment of Results</w:t>
      </w:r>
      <w:bookmarkEnd w:id="7"/>
      <w:bookmarkEnd w:id="8"/>
    </w:p>
    <w:p w:rsidR="00007B4E" w:rsidRPr="00007B4E" w:rsidRDefault="00007B4E" w:rsidP="00007B4E">
      <w:pPr>
        <w:spacing w:before="240" w:after="0"/>
        <w:rPr>
          <w:rFonts w:ascii="Arial" w:eastAsia="Times New Roman" w:hAnsi="Arial" w:cs="Arial"/>
          <w:sz w:val="24"/>
          <w:szCs w:val="24"/>
          <w:lang w:eastAsia="en-CA"/>
        </w:rPr>
      </w:pPr>
      <w:r w:rsidRPr="00007B4E">
        <w:rPr>
          <w:rFonts w:ascii="Arial" w:eastAsia="Times New Roman" w:hAnsi="Arial" w:cs="Arial"/>
          <w:sz w:val="24"/>
          <w:szCs w:val="24"/>
          <w:lang w:eastAsia="en-CA"/>
        </w:rPr>
        <w:t>When residues of glyphosate were detected in foods, the results were compared to the MRLs set by Health Canada.  If the level found in a food sample was higher than the MRL, the information was reviewed and the appropriate follow up was taken, this may have included notifying the manufacturer or importer, requesting corrective action, conducting further directed sampling, or product recall.</w:t>
      </w:r>
    </w:p>
    <w:p w:rsidR="00007B4E" w:rsidRPr="00007B4E" w:rsidRDefault="00007B4E" w:rsidP="00007B4E">
      <w:pPr>
        <w:rPr>
          <w:rFonts w:ascii="Arial" w:hAnsi="Arial" w:cs="Arial"/>
          <w:sz w:val="24"/>
          <w:szCs w:val="24"/>
        </w:rPr>
      </w:pPr>
      <w:r w:rsidRPr="00007B4E">
        <w:rPr>
          <w:rFonts w:ascii="Arial" w:hAnsi="Arial" w:cs="Arial"/>
          <w:sz w:val="24"/>
          <w:szCs w:val="24"/>
        </w:rPr>
        <w:t xml:space="preserve">Samples were assessed based on the sum of glyphosate and the metabolite amino- </w:t>
      </w:r>
      <w:proofErr w:type="spellStart"/>
      <w:r w:rsidRPr="00007B4E">
        <w:rPr>
          <w:rFonts w:ascii="Arial" w:hAnsi="Arial" w:cs="Arial"/>
          <w:sz w:val="24"/>
          <w:szCs w:val="24"/>
        </w:rPr>
        <w:t>methylphosphonic</w:t>
      </w:r>
      <w:proofErr w:type="spellEnd"/>
      <w:r w:rsidRPr="00007B4E">
        <w:rPr>
          <w:rFonts w:ascii="Arial" w:hAnsi="Arial" w:cs="Arial"/>
          <w:sz w:val="24"/>
          <w:szCs w:val="24"/>
        </w:rPr>
        <w:t xml:space="preserve"> acid (AMPA) to following MRLs:</w:t>
      </w:r>
    </w:p>
    <w:p w:rsidR="00007B4E" w:rsidRPr="00007B4E" w:rsidRDefault="00007B4E" w:rsidP="00007B4E">
      <w:pPr>
        <w:pStyle w:val="ListParagraph"/>
        <w:numPr>
          <w:ilvl w:val="0"/>
          <w:numId w:val="4"/>
        </w:numPr>
        <w:rPr>
          <w:rFonts w:ascii="Arial" w:hAnsi="Arial" w:cs="Arial"/>
          <w:sz w:val="24"/>
          <w:szCs w:val="24"/>
        </w:rPr>
      </w:pPr>
      <w:r w:rsidRPr="00007B4E">
        <w:rPr>
          <w:rFonts w:ascii="Arial" w:hAnsi="Arial" w:cs="Arial"/>
          <w:sz w:val="24"/>
          <w:szCs w:val="24"/>
        </w:rPr>
        <w:t xml:space="preserve">Barley- </w:t>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t>10 ppm</w:t>
      </w:r>
    </w:p>
    <w:p w:rsidR="00007B4E" w:rsidRPr="00007B4E" w:rsidRDefault="00007B4E" w:rsidP="00007B4E">
      <w:pPr>
        <w:pStyle w:val="ListParagraph"/>
        <w:numPr>
          <w:ilvl w:val="0"/>
          <w:numId w:val="4"/>
        </w:numPr>
        <w:rPr>
          <w:rFonts w:ascii="Arial" w:hAnsi="Arial" w:cs="Arial"/>
          <w:sz w:val="24"/>
          <w:szCs w:val="24"/>
        </w:rPr>
      </w:pPr>
      <w:r w:rsidRPr="00007B4E">
        <w:rPr>
          <w:rFonts w:ascii="Arial" w:hAnsi="Arial" w:cs="Arial"/>
          <w:sz w:val="24"/>
          <w:szCs w:val="24"/>
        </w:rPr>
        <w:t>Bean (including chickpea)-</w:t>
      </w:r>
      <w:r w:rsidRPr="00007B4E">
        <w:rPr>
          <w:rFonts w:ascii="Arial" w:hAnsi="Arial" w:cs="Arial"/>
          <w:sz w:val="24"/>
          <w:szCs w:val="24"/>
        </w:rPr>
        <w:tab/>
      </w:r>
      <w:r w:rsidRPr="00007B4E">
        <w:rPr>
          <w:rFonts w:ascii="Arial" w:hAnsi="Arial" w:cs="Arial"/>
          <w:sz w:val="24"/>
          <w:szCs w:val="24"/>
        </w:rPr>
        <w:tab/>
      </w:r>
      <w:r w:rsidR="000E53C7">
        <w:rPr>
          <w:rFonts w:ascii="Arial" w:hAnsi="Arial" w:cs="Arial"/>
          <w:sz w:val="24"/>
          <w:szCs w:val="24"/>
        </w:rPr>
        <w:t xml:space="preserve"> </w:t>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000E53C7">
        <w:rPr>
          <w:rFonts w:ascii="Arial" w:hAnsi="Arial" w:cs="Arial"/>
          <w:sz w:val="24"/>
          <w:szCs w:val="24"/>
        </w:rPr>
        <w:t xml:space="preserve"> </w:t>
      </w:r>
      <w:r w:rsidRPr="00007B4E">
        <w:rPr>
          <w:rFonts w:ascii="Arial" w:hAnsi="Arial" w:cs="Arial"/>
          <w:sz w:val="24"/>
          <w:szCs w:val="24"/>
        </w:rPr>
        <w:t>4 ppm</w:t>
      </w:r>
    </w:p>
    <w:p w:rsidR="00007B4E" w:rsidRPr="00007B4E" w:rsidRDefault="00007B4E" w:rsidP="00007B4E">
      <w:pPr>
        <w:pStyle w:val="ListParagraph"/>
        <w:numPr>
          <w:ilvl w:val="0"/>
          <w:numId w:val="4"/>
        </w:numPr>
        <w:rPr>
          <w:rFonts w:ascii="Arial" w:hAnsi="Arial" w:cs="Arial"/>
          <w:sz w:val="24"/>
          <w:szCs w:val="24"/>
        </w:rPr>
      </w:pPr>
      <w:r w:rsidRPr="00007B4E">
        <w:rPr>
          <w:rFonts w:ascii="Arial" w:hAnsi="Arial" w:cs="Arial"/>
          <w:sz w:val="24"/>
          <w:szCs w:val="24"/>
        </w:rPr>
        <w:t>Lentil-</w:t>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000E53C7">
        <w:rPr>
          <w:rFonts w:ascii="Arial" w:hAnsi="Arial" w:cs="Arial"/>
          <w:sz w:val="24"/>
          <w:szCs w:val="24"/>
        </w:rPr>
        <w:t xml:space="preserve"> </w:t>
      </w:r>
      <w:r w:rsidRPr="00007B4E">
        <w:rPr>
          <w:rFonts w:ascii="Arial" w:hAnsi="Arial" w:cs="Arial"/>
          <w:sz w:val="24"/>
          <w:szCs w:val="24"/>
        </w:rPr>
        <w:t>4 ppm</w:t>
      </w:r>
    </w:p>
    <w:p w:rsidR="00007B4E" w:rsidRPr="00007B4E" w:rsidRDefault="00007B4E" w:rsidP="00007B4E">
      <w:pPr>
        <w:pStyle w:val="ListParagraph"/>
        <w:numPr>
          <w:ilvl w:val="0"/>
          <w:numId w:val="4"/>
        </w:numPr>
        <w:rPr>
          <w:rFonts w:ascii="Arial" w:hAnsi="Arial" w:cs="Arial"/>
          <w:sz w:val="24"/>
          <w:szCs w:val="24"/>
        </w:rPr>
      </w:pPr>
      <w:r w:rsidRPr="00007B4E">
        <w:rPr>
          <w:rFonts w:ascii="Arial" w:hAnsi="Arial" w:cs="Arial"/>
          <w:sz w:val="24"/>
          <w:szCs w:val="24"/>
        </w:rPr>
        <w:t>Pea-</w:t>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000E53C7">
        <w:rPr>
          <w:rFonts w:ascii="Arial" w:hAnsi="Arial" w:cs="Arial"/>
          <w:sz w:val="24"/>
          <w:szCs w:val="24"/>
        </w:rPr>
        <w:t xml:space="preserve"> </w:t>
      </w:r>
      <w:r w:rsidRPr="00007B4E">
        <w:rPr>
          <w:rFonts w:ascii="Arial" w:hAnsi="Arial" w:cs="Arial"/>
          <w:sz w:val="24"/>
          <w:szCs w:val="24"/>
        </w:rPr>
        <w:t>5 ppm</w:t>
      </w:r>
    </w:p>
    <w:p w:rsidR="00007B4E" w:rsidRPr="00007B4E" w:rsidRDefault="000E53C7" w:rsidP="00007B4E">
      <w:pPr>
        <w:pStyle w:val="ListParagraph"/>
        <w:numPr>
          <w:ilvl w:val="0"/>
          <w:numId w:val="4"/>
        </w:numPr>
        <w:rPr>
          <w:rFonts w:ascii="Arial" w:hAnsi="Arial" w:cs="Arial"/>
          <w:sz w:val="24"/>
          <w:szCs w:val="24"/>
        </w:rPr>
      </w:pPr>
      <w:r>
        <w:rPr>
          <w:rFonts w:ascii="Arial" w:hAnsi="Arial" w:cs="Arial"/>
          <w:sz w:val="24"/>
          <w:szCs w:val="24"/>
        </w:rPr>
        <w:t>Soybean-</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          </w:t>
      </w:r>
      <w:r w:rsidR="00007B4E" w:rsidRPr="00007B4E">
        <w:rPr>
          <w:rFonts w:ascii="Arial" w:hAnsi="Arial" w:cs="Arial"/>
          <w:sz w:val="24"/>
          <w:szCs w:val="24"/>
        </w:rPr>
        <w:t>20 ppm</w:t>
      </w:r>
    </w:p>
    <w:p w:rsidR="00007B4E" w:rsidRPr="00007B4E" w:rsidRDefault="00007B4E" w:rsidP="00007B4E">
      <w:pPr>
        <w:pStyle w:val="ListParagraph"/>
        <w:numPr>
          <w:ilvl w:val="0"/>
          <w:numId w:val="4"/>
        </w:numPr>
        <w:rPr>
          <w:rFonts w:ascii="Arial" w:hAnsi="Arial" w:cs="Arial"/>
          <w:sz w:val="24"/>
          <w:szCs w:val="24"/>
        </w:rPr>
      </w:pPr>
      <w:r w:rsidRPr="00007B4E">
        <w:rPr>
          <w:rFonts w:ascii="Arial" w:hAnsi="Arial" w:cs="Arial"/>
          <w:sz w:val="24"/>
          <w:szCs w:val="24"/>
        </w:rPr>
        <w:t xml:space="preserve">Wheat (including </w:t>
      </w:r>
      <w:proofErr w:type="spellStart"/>
      <w:r w:rsidRPr="00007B4E">
        <w:rPr>
          <w:rFonts w:ascii="Arial" w:hAnsi="Arial" w:cs="Arial"/>
          <w:sz w:val="24"/>
          <w:szCs w:val="24"/>
        </w:rPr>
        <w:t>kamut</w:t>
      </w:r>
      <w:proofErr w:type="spellEnd"/>
      <w:r w:rsidRPr="00007B4E">
        <w:rPr>
          <w:rFonts w:ascii="Arial" w:hAnsi="Arial" w:cs="Arial"/>
          <w:sz w:val="24"/>
          <w:szCs w:val="24"/>
        </w:rPr>
        <w:t xml:space="preserve"> and spelt)-</w:t>
      </w:r>
      <w:r w:rsidRPr="00007B4E">
        <w:rPr>
          <w:rFonts w:ascii="Arial" w:hAnsi="Arial" w:cs="Arial"/>
          <w:sz w:val="24"/>
          <w:szCs w:val="24"/>
        </w:rPr>
        <w:tab/>
      </w:r>
      <w:r w:rsidRPr="00007B4E">
        <w:rPr>
          <w:rFonts w:ascii="Arial" w:hAnsi="Arial" w:cs="Arial"/>
          <w:sz w:val="24"/>
          <w:szCs w:val="24"/>
        </w:rPr>
        <w:tab/>
      </w:r>
      <w:r w:rsidRPr="00007B4E">
        <w:rPr>
          <w:rFonts w:ascii="Arial" w:hAnsi="Arial" w:cs="Arial"/>
          <w:sz w:val="24"/>
          <w:szCs w:val="24"/>
        </w:rPr>
        <w:tab/>
      </w:r>
      <w:r w:rsidR="000E53C7">
        <w:rPr>
          <w:rFonts w:ascii="Arial" w:hAnsi="Arial" w:cs="Arial"/>
          <w:sz w:val="24"/>
          <w:szCs w:val="24"/>
        </w:rPr>
        <w:t xml:space="preserve"> </w:t>
      </w:r>
      <w:r w:rsidRPr="00007B4E">
        <w:rPr>
          <w:rFonts w:ascii="Arial" w:hAnsi="Arial" w:cs="Arial"/>
          <w:sz w:val="24"/>
          <w:szCs w:val="24"/>
        </w:rPr>
        <w:t xml:space="preserve">5 ppm </w:t>
      </w:r>
    </w:p>
    <w:p w:rsidR="00007B4E" w:rsidRPr="00007B4E" w:rsidRDefault="00007B4E" w:rsidP="00007B4E">
      <w:pPr>
        <w:pStyle w:val="ListParagraph"/>
        <w:numPr>
          <w:ilvl w:val="0"/>
          <w:numId w:val="4"/>
        </w:numPr>
        <w:spacing w:before="100" w:beforeAutospacing="1" w:after="100" w:afterAutospacing="1"/>
        <w:rPr>
          <w:rFonts w:ascii="Arial" w:eastAsia="Times New Roman" w:hAnsi="Arial" w:cs="Arial"/>
          <w:sz w:val="24"/>
          <w:szCs w:val="24"/>
          <w:lang w:eastAsia="en-CA"/>
        </w:rPr>
      </w:pPr>
      <w:r w:rsidRPr="00007B4E">
        <w:rPr>
          <w:rFonts w:ascii="Arial" w:hAnsi="Arial" w:cs="Arial"/>
          <w:sz w:val="24"/>
          <w:szCs w:val="24"/>
        </w:rPr>
        <w:t>Products not included above, general MRL (</w:t>
      </w:r>
      <w:proofErr w:type="spellStart"/>
      <w:r w:rsidRPr="00007B4E">
        <w:rPr>
          <w:rFonts w:ascii="Arial" w:hAnsi="Arial" w:cs="Arial"/>
          <w:sz w:val="24"/>
          <w:szCs w:val="24"/>
        </w:rPr>
        <w:t>gMRL</w:t>
      </w:r>
      <w:proofErr w:type="spellEnd"/>
      <w:r w:rsidRPr="00007B4E">
        <w:rPr>
          <w:rFonts w:ascii="Arial" w:hAnsi="Arial" w:cs="Arial"/>
          <w:sz w:val="24"/>
          <w:szCs w:val="24"/>
        </w:rPr>
        <w:t>)</w:t>
      </w:r>
      <w:r w:rsidR="000E53C7">
        <w:rPr>
          <w:rFonts w:ascii="Arial" w:hAnsi="Arial" w:cs="Arial"/>
          <w:sz w:val="24"/>
          <w:szCs w:val="24"/>
        </w:rPr>
        <w:tab/>
      </w:r>
      <w:r w:rsidRPr="00007B4E">
        <w:rPr>
          <w:rFonts w:ascii="Arial" w:hAnsi="Arial" w:cs="Arial"/>
          <w:sz w:val="24"/>
          <w:szCs w:val="24"/>
        </w:rPr>
        <w:t>0.1 ppm</w:t>
      </w:r>
    </w:p>
    <w:p w:rsidR="00007B4E" w:rsidRPr="00007B4E" w:rsidRDefault="00007B4E" w:rsidP="00007B4E">
      <w:pPr>
        <w:pStyle w:val="Heading1"/>
        <w:numPr>
          <w:ilvl w:val="0"/>
          <w:numId w:val="0"/>
        </w:numPr>
        <w:spacing w:before="0" w:after="0"/>
        <w:ind w:left="432" w:hanging="432"/>
      </w:pPr>
      <w:bookmarkStart w:id="9" w:name="_Toc290034722"/>
      <w:bookmarkStart w:id="10" w:name="_Toc468264749"/>
      <w:bookmarkStart w:id="11" w:name="_Toc463001169"/>
      <w:r w:rsidRPr="00007B4E">
        <w:t>Results</w:t>
      </w:r>
      <w:bookmarkEnd w:id="9"/>
      <w:bookmarkEnd w:id="10"/>
      <w:r w:rsidRPr="00007B4E">
        <w:t xml:space="preserve"> </w:t>
      </w:r>
      <w:bookmarkEnd w:id="11"/>
    </w:p>
    <w:p w:rsidR="00007B4E" w:rsidRPr="00007B4E" w:rsidRDefault="00007B4E" w:rsidP="00007B4E">
      <w:pPr>
        <w:spacing w:after="0"/>
        <w:rPr>
          <w:rFonts w:ascii="Arial" w:hAnsi="Arial" w:cs="Arial"/>
          <w:sz w:val="24"/>
          <w:szCs w:val="24"/>
        </w:rPr>
      </w:pPr>
    </w:p>
    <w:p w:rsidR="00007B4E" w:rsidRPr="00007B4E" w:rsidRDefault="00007B4E" w:rsidP="00007B4E">
      <w:pPr>
        <w:spacing w:after="0"/>
        <w:rPr>
          <w:rFonts w:ascii="Arial" w:hAnsi="Arial" w:cs="Arial"/>
          <w:sz w:val="24"/>
          <w:szCs w:val="24"/>
        </w:rPr>
      </w:pPr>
      <w:r w:rsidRPr="00007B4E">
        <w:rPr>
          <w:rFonts w:ascii="Arial" w:hAnsi="Arial" w:cs="Arial"/>
          <w:sz w:val="24"/>
          <w:szCs w:val="24"/>
        </w:rPr>
        <w:t>The overall compliance rate for these surveys, based on Canadian Maximum Residue Limits (MRL), was 98.7 %.  No samples of fruits and vegetables, soy products, or infant foods were found to contain residues exceeding Canadian limits.   Most samples found with levels of residues exceeding Canadian limits were predominantly associated with grain products.</w:t>
      </w:r>
    </w:p>
    <w:p w:rsidR="00007B4E" w:rsidRPr="00007B4E" w:rsidRDefault="00007B4E" w:rsidP="00007B4E">
      <w:pPr>
        <w:spacing w:after="0"/>
        <w:rPr>
          <w:rFonts w:ascii="Arial" w:hAnsi="Arial" w:cs="Arial"/>
          <w:sz w:val="24"/>
          <w:szCs w:val="24"/>
        </w:rPr>
      </w:pPr>
    </w:p>
    <w:p w:rsidR="00007B4E" w:rsidRPr="00007B4E" w:rsidRDefault="00007B4E" w:rsidP="00007B4E">
      <w:pPr>
        <w:spacing w:after="0"/>
        <w:rPr>
          <w:rFonts w:ascii="Arial" w:eastAsia="Times New Roman" w:hAnsi="Arial" w:cs="Arial"/>
          <w:sz w:val="24"/>
          <w:szCs w:val="24"/>
          <w:lang w:eastAsia="en-CA"/>
        </w:rPr>
      </w:pPr>
      <w:r w:rsidRPr="00007B4E">
        <w:rPr>
          <w:rFonts w:ascii="Arial" w:eastAsia="Times New Roman" w:hAnsi="Arial" w:cs="Arial"/>
          <w:sz w:val="24"/>
          <w:szCs w:val="24"/>
          <w:lang w:eastAsia="en-CA"/>
        </w:rPr>
        <w:t>The following table summarizes the results of glyphosate testing completed by the CFIA in 2015-2016:</w:t>
      </w:r>
    </w:p>
    <w:p w:rsidR="00007B4E" w:rsidRPr="00007B4E" w:rsidRDefault="00007B4E" w:rsidP="00007B4E">
      <w:pPr>
        <w:spacing w:after="0"/>
        <w:rPr>
          <w:rFonts w:ascii="Arial" w:eastAsia="Times New Roman" w:hAnsi="Arial" w:cs="Arial"/>
          <w:sz w:val="24"/>
          <w:szCs w:val="24"/>
          <w:lang w:eastAsia="en-CA"/>
        </w:rPr>
      </w:pPr>
    </w:p>
    <w:p w:rsidR="00007B4E" w:rsidRPr="00007B4E" w:rsidRDefault="00007B4E" w:rsidP="00007B4E">
      <w:pPr>
        <w:spacing w:after="0"/>
        <w:rPr>
          <w:rFonts w:ascii="Arial" w:eastAsia="Times New Roman" w:hAnsi="Arial" w:cs="Arial"/>
          <w:sz w:val="24"/>
          <w:szCs w:val="24"/>
          <w:lang w:eastAsia="en-CA"/>
        </w:rPr>
      </w:pPr>
    </w:p>
    <w:p w:rsidR="00007B4E" w:rsidRPr="00007B4E" w:rsidRDefault="00007B4E" w:rsidP="00007B4E">
      <w:pPr>
        <w:spacing w:after="0"/>
        <w:rPr>
          <w:rFonts w:ascii="Arial" w:eastAsia="Times New Roman" w:hAnsi="Arial" w:cs="Arial"/>
          <w:sz w:val="24"/>
          <w:szCs w:val="24"/>
          <w:lang w:eastAsia="en-CA"/>
        </w:rPr>
      </w:pPr>
    </w:p>
    <w:p w:rsidR="00007B4E" w:rsidRPr="00007B4E" w:rsidRDefault="00007B4E" w:rsidP="00007B4E">
      <w:pPr>
        <w:spacing w:after="0"/>
        <w:rPr>
          <w:rFonts w:ascii="Arial" w:eastAsia="Times New Roman" w:hAnsi="Arial" w:cs="Arial"/>
          <w:sz w:val="24"/>
          <w:szCs w:val="24"/>
          <w:lang w:eastAsia="en-CA"/>
        </w:rPr>
      </w:pPr>
    </w:p>
    <w:tbl>
      <w:tblPr>
        <w:tblW w:w="8752" w:type="dxa"/>
        <w:jc w:val="center"/>
        <w:tblLook w:val="04A0" w:firstRow="1" w:lastRow="0" w:firstColumn="1" w:lastColumn="0" w:noHBand="0" w:noVBand="1"/>
      </w:tblPr>
      <w:tblGrid>
        <w:gridCol w:w="1691"/>
        <w:gridCol w:w="1875"/>
        <w:gridCol w:w="1350"/>
        <w:gridCol w:w="1980"/>
        <w:gridCol w:w="1856"/>
      </w:tblGrid>
      <w:tr w:rsidR="00007B4E" w:rsidRPr="00007B4E" w:rsidTr="002A75F9">
        <w:trPr>
          <w:trHeight w:val="600"/>
          <w:jc w:val="center"/>
        </w:trPr>
        <w:tc>
          <w:tcPr>
            <w:tcW w:w="1691" w:type="dxa"/>
            <w:tcBorders>
              <w:top w:val="single" w:sz="4" w:space="0" w:color="auto"/>
              <w:left w:val="single" w:sz="4" w:space="0" w:color="auto"/>
              <w:bottom w:val="single" w:sz="4" w:space="0" w:color="auto"/>
              <w:right w:val="single" w:sz="4" w:space="0" w:color="auto"/>
            </w:tcBorders>
            <w:vAlign w:val="center"/>
          </w:tcPr>
          <w:p w:rsidR="00007B4E" w:rsidRPr="00007B4E" w:rsidRDefault="00007B4E" w:rsidP="002A75F9">
            <w:pPr>
              <w:spacing w:after="0" w:line="240" w:lineRule="auto"/>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lastRenderedPageBreak/>
              <w:t>Program</w:t>
            </w:r>
          </w:p>
        </w:tc>
        <w:tc>
          <w:tcPr>
            <w:tcW w:w="18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Food Type</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 xml:space="preserve"># Samples </w:t>
            </w:r>
          </w:p>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Tested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 xml:space="preserve">% Samples </w:t>
            </w:r>
          </w:p>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 xml:space="preserve">with Glyphosate </w:t>
            </w:r>
            <w:r w:rsidRPr="00007B4E">
              <w:rPr>
                <w:rFonts w:ascii="Arial" w:eastAsia="Times New Roman" w:hAnsi="Arial" w:cs="Arial"/>
                <w:b/>
                <w:color w:val="000000"/>
                <w:sz w:val="24"/>
                <w:szCs w:val="24"/>
                <w:lang w:eastAsia="en-CA"/>
              </w:rPr>
              <w:br/>
              <w:t>Residues Detected</w:t>
            </w:r>
          </w:p>
        </w:tc>
        <w:tc>
          <w:tcPr>
            <w:tcW w:w="1856" w:type="dxa"/>
            <w:tcBorders>
              <w:top w:val="single" w:sz="4" w:space="0" w:color="auto"/>
              <w:left w:val="nil"/>
              <w:bottom w:val="single" w:sz="4" w:space="0" w:color="auto"/>
              <w:right w:val="single" w:sz="4" w:space="0" w:color="auto"/>
            </w:tcBorders>
            <w:shd w:val="clear" w:color="auto" w:fill="auto"/>
            <w:vAlign w:val="center"/>
            <w:hideMark/>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 xml:space="preserve">% Samples </w:t>
            </w:r>
            <w:r w:rsidRPr="00007B4E">
              <w:rPr>
                <w:rFonts w:ascii="Arial" w:eastAsia="Times New Roman" w:hAnsi="Arial" w:cs="Arial"/>
                <w:b/>
                <w:color w:val="000000"/>
                <w:sz w:val="24"/>
                <w:szCs w:val="24"/>
                <w:lang w:eastAsia="en-CA"/>
              </w:rPr>
              <w:br/>
              <w:t>with Glyphosate Residues above MRLs</w:t>
            </w:r>
          </w:p>
        </w:tc>
      </w:tr>
      <w:tr w:rsidR="00007B4E" w:rsidRPr="00007B4E" w:rsidTr="002A75F9">
        <w:trPr>
          <w:trHeight w:val="674"/>
          <w:jc w:val="center"/>
        </w:trPr>
        <w:tc>
          <w:tcPr>
            <w:tcW w:w="1691" w:type="dxa"/>
            <w:vMerge w:val="restart"/>
            <w:tcBorders>
              <w:top w:val="nil"/>
              <w:left w:val="single" w:sz="4" w:space="0" w:color="auto"/>
              <w:right w:val="single" w:sz="4"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r w:rsidRPr="00007B4E">
              <w:rPr>
                <w:rFonts w:ascii="Arial" w:hAnsi="Arial" w:cs="Arial"/>
                <w:color w:val="000000"/>
                <w:sz w:val="24"/>
                <w:szCs w:val="24"/>
              </w:rPr>
              <w:t xml:space="preserve">National Chemical Residue Monitoring Program </w:t>
            </w:r>
          </w:p>
        </w:tc>
        <w:tc>
          <w:tcPr>
            <w:tcW w:w="1875" w:type="dxa"/>
            <w:tcBorders>
              <w:top w:val="nil"/>
              <w:left w:val="single" w:sz="4" w:space="0" w:color="auto"/>
              <w:bottom w:val="single" w:sz="4" w:space="0" w:color="auto"/>
              <w:right w:val="single" w:sz="4" w:space="0" w:color="auto"/>
            </w:tcBorders>
            <w:shd w:val="clear" w:color="auto" w:fill="auto"/>
            <w:noWrap/>
            <w:vAlign w:val="center"/>
            <w:hideMark/>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Fresh fruits and vegetables</w:t>
            </w:r>
          </w:p>
        </w:tc>
        <w:tc>
          <w:tcPr>
            <w:tcW w:w="1350" w:type="dxa"/>
            <w:tcBorders>
              <w:top w:val="nil"/>
              <w:left w:val="nil"/>
              <w:bottom w:val="single" w:sz="4" w:space="0" w:color="auto"/>
              <w:right w:val="single" w:sz="4" w:space="0" w:color="auto"/>
            </w:tcBorders>
            <w:shd w:val="clear" w:color="auto" w:fill="auto"/>
            <w:noWrap/>
            <w:vAlign w:val="center"/>
            <w:hideMark/>
          </w:tcPr>
          <w:p w:rsidR="00007B4E" w:rsidRPr="00007B4E" w:rsidRDefault="00007B4E" w:rsidP="002A75F9">
            <w:pPr>
              <w:jc w:val="center"/>
              <w:rPr>
                <w:rFonts w:ascii="Arial" w:hAnsi="Arial" w:cs="Arial"/>
                <w:color w:val="000000"/>
                <w:sz w:val="24"/>
                <w:szCs w:val="24"/>
              </w:rPr>
            </w:pPr>
            <w:r w:rsidRPr="00007B4E">
              <w:rPr>
                <w:rFonts w:ascii="Arial" w:hAnsi="Arial" w:cs="Arial"/>
                <w:color w:val="000000"/>
                <w:sz w:val="24"/>
                <w:szCs w:val="24"/>
              </w:rPr>
              <w:t>317</w:t>
            </w:r>
          </w:p>
        </w:tc>
        <w:tc>
          <w:tcPr>
            <w:tcW w:w="1980" w:type="dxa"/>
            <w:tcBorders>
              <w:top w:val="nil"/>
              <w:left w:val="nil"/>
              <w:bottom w:val="single" w:sz="4" w:space="0" w:color="auto"/>
              <w:right w:val="single" w:sz="4" w:space="0" w:color="auto"/>
            </w:tcBorders>
            <w:shd w:val="clear" w:color="auto" w:fill="auto"/>
            <w:noWrap/>
            <w:vAlign w:val="center"/>
            <w:hideMark/>
          </w:tcPr>
          <w:p w:rsidR="00007B4E" w:rsidRPr="00007B4E" w:rsidRDefault="00007B4E" w:rsidP="002A75F9">
            <w:pPr>
              <w:jc w:val="center"/>
              <w:rPr>
                <w:rFonts w:ascii="Arial" w:hAnsi="Arial" w:cs="Arial"/>
                <w:color w:val="000000"/>
                <w:sz w:val="24"/>
                <w:szCs w:val="24"/>
              </w:rPr>
            </w:pPr>
            <w:r w:rsidRPr="00007B4E">
              <w:rPr>
                <w:rFonts w:ascii="Arial" w:hAnsi="Arial" w:cs="Arial"/>
                <w:color w:val="000000"/>
                <w:sz w:val="24"/>
                <w:szCs w:val="24"/>
              </w:rPr>
              <w:t>7.3%</w:t>
            </w:r>
          </w:p>
        </w:tc>
        <w:tc>
          <w:tcPr>
            <w:tcW w:w="1856" w:type="dxa"/>
            <w:tcBorders>
              <w:top w:val="nil"/>
              <w:left w:val="nil"/>
              <w:bottom w:val="single" w:sz="4" w:space="0" w:color="auto"/>
              <w:right w:val="single" w:sz="4" w:space="0" w:color="auto"/>
            </w:tcBorders>
            <w:shd w:val="clear" w:color="auto" w:fill="auto"/>
            <w:noWrap/>
            <w:vAlign w:val="center"/>
            <w:hideMark/>
          </w:tcPr>
          <w:p w:rsidR="00007B4E" w:rsidRPr="00007B4E" w:rsidRDefault="00007B4E" w:rsidP="002A75F9">
            <w:pPr>
              <w:jc w:val="center"/>
              <w:rPr>
                <w:rFonts w:ascii="Arial" w:hAnsi="Arial" w:cs="Arial"/>
                <w:color w:val="000000"/>
                <w:sz w:val="24"/>
                <w:szCs w:val="24"/>
              </w:rPr>
            </w:pPr>
            <w:r w:rsidRPr="00007B4E">
              <w:rPr>
                <w:rFonts w:ascii="Arial" w:hAnsi="Arial" w:cs="Arial"/>
                <w:color w:val="000000"/>
                <w:sz w:val="24"/>
                <w:szCs w:val="24"/>
              </w:rPr>
              <w:t>0%</w:t>
            </w:r>
          </w:p>
        </w:tc>
      </w:tr>
      <w:tr w:rsidR="00007B4E" w:rsidRPr="00007B4E" w:rsidTr="002A75F9">
        <w:trPr>
          <w:trHeight w:val="300"/>
          <w:jc w:val="center"/>
        </w:trPr>
        <w:tc>
          <w:tcPr>
            <w:tcW w:w="1691" w:type="dxa"/>
            <w:vMerge/>
            <w:tcBorders>
              <w:left w:val="single" w:sz="4" w:space="0" w:color="auto"/>
              <w:bottom w:val="single" w:sz="4" w:space="0" w:color="auto"/>
              <w:right w:val="single" w:sz="4"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p>
        </w:tc>
        <w:tc>
          <w:tcPr>
            <w:tcW w:w="1875" w:type="dxa"/>
            <w:tcBorders>
              <w:top w:val="nil"/>
              <w:left w:val="single" w:sz="4" w:space="0" w:color="auto"/>
              <w:bottom w:val="single" w:sz="4" w:space="0" w:color="auto"/>
              <w:right w:val="single" w:sz="4" w:space="0" w:color="auto"/>
            </w:tcBorders>
            <w:shd w:val="clear" w:color="auto" w:fill="auto"/>
            <w:noWrap/>
            <w:vAlign w:val="center"/>
            <w:hideMark/>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Processed fruits and vegetables</w:t>
            </w:r>
          </w:p>
        </w:tc>
        <w:tc>
          <w:tcPr>
            <w:tcW w:w="1350" w:type="dxa"/>
            <w:tcBorders>
              <w:top w:val="nil"/>
              <w:left w:val="nil"/>
              <w:bottom w:val="single" w:sz="4"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165</w:t>
            </w:r>
          </w:p>
        </w:tc>
        <w:tc>
          <w:tcPr>
            <w:tcW w:w="1980" w:type="dxa"/>
            <w:tcBorders>
              <w:top w:val="nil"/>
              <w:left w:val="nil"/>
              <w:bottom w:val="single" w:sz="4"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12.1%</w:t>
            </w:r>
          </w:p>
        </w:tc>
        <w:tc>
          <w:tcPr>
            <w:tcW w:w="1856" w:type="dxa"/>
            <w:tcBorders>
              <w:top w:val="nil"/>
              <w:left w:val="nil"/>
              <w:bottom w:val="single" w:sz="4"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0%</w:t>
            </w:r>
          </w:p>
        </w:tc>
      </w:tr>
      <w:tr w:rsidR="00007B4E" w:rsidRPr="00007B4E" w:rsidTr="002A75F9">
        <w:trPr>
          <w:trHeight w:val="300"/>
          <w:jc w:val="center"/>
        </w:trPr>
        <w:tc>
          <w:tcPr>
            <w:tcW w:w="1691" w:type="dxa"/>
            <w:vMerge w:val="restart"/>
            <w:tcBorders>
              <w:top w:val="single" w:sz="4" w:space="0" w:color="auto"/>
              <w:left w:val="single" w:sz="4" w:space="0" w:color="auto"/>
              <w:right w:val="single" w:sz="6"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Targeted Surveys</w:t>
            </w:r>
          </w:p>
        </w:tc>
        <w:tc>
          <w:tcPr>
            <w:tcW w:w="1875" w:type="dxa"/>
            <w:tcBorders>
              <w:top w:val="single" w:sz="4"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Grain products</w:t>
            </w:r>
          </w:p>
          <w:p w:rsidR="00007B4E" w:rsidRPr="00007B4E" w:rsidRDefault="00007B4E" w:rsidP="002A75F9">
            <w:pPr>
              <w:spacing w:after="0" w:line="240" w:lineRule="auto"/>
              <w:jc w:val="center"/>
              <w:rPr>
                <w:rFonts w:ascii="Arial" w:eastAsia="Times New Roman" w:hAnsi="Arial" w:cs="Arial"/>
                <w:color w:val="000000"/>
                <w:sz w:val="24"/>
                <w:szCs w:val="24"/>
                <w:lang w:eastAsia="en-CA"/>
              </w:rPr>
            </w:pPr>
          </w:p>
        </w:tc>
        <w:tc>
          <w:tcPr>
            <w:tcW w:w="1350" w:type="dxa"/>
            <w:tcBorders>
              <w:top w:val="single" w:sz="4"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869</w:t>
            </w:r>
          </w:p>
        </w:tc>
        <w:tc>
          <w:tcPr>
            <w:tcW w:w="1980" w:type="dxa"/>
            <w:tcBorders>
              <w:top w:val="single" w:sz="4"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36.6%</w:t>
            </w:r>
          </w:p>
        </w:tc>
        <w:tc>
          <w:tcPr>
            <w:tcW w:w="1856" w:type="dxa"/>
            <w:tcBorders>
              <w:top w:val="single" w:sz="4"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3.9%</w:t>
            </w:r>
          </w:p>
        </w:tc>
      </w:tr>
      <w:tr w:rsidR="00007B4E" w:rsidRPr="00007B4E" w:rsidTr="002A75F9">
        <w:trPr>
          <w:trHeight w:val="633"/>
          <w:jc w:val="center"/>
        </w:trPr>
        <w:tc>
          <w:tcPr>
            <w:tcW w:w="1691" w:type="dxa"/>
            <w:vMerge/>
            <w:tcBorders>
              <w:left w:val="single" w:sz="4" w:space="0" w:color="auto"/>
              <w:right w:val="single" w:sz="6"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p>
        </w:tc>
        <w:tc>
          <w:tcPr>
            <w:tcW w:w="1875" w:type="dxa"/>
            <w:tcBorders>
              <w:top w:val="single" w:sz="6"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Juice and other beverages</w:t>
            </w: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496</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16.3%</w:t>
            </w:r>
          </w:p>
        </w:tc>
        <w:tc>
          <w:tcPr>
            <w:tcW w:w="1856" w:type="dxa"/>
            <w:tcBorders>
              <w:top w:val="single" w:sz="6"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0.2%</w:t>
            </w:r>
          </w:p>
        </w:tc>
      </w:tr>
      <w:tr w:rsidR="00007B4E" w:rsidRPr="00007B4E" w:rsidTr="002A75F9">
        <w:trPr>
          <w:trHeight w:val="543"/>
          <w:jc w:val="center"/>
        </w:trPr>
        <w:tc>
          <w:tcPr>
            <w:tcW w:w="1691" w:type="dxa"/>
            <w:vMerge/>
            <w:tcBorders>
              <w:left w:val="single" w:sz="4" w:space="0" w:color="auto"/>
              <w:right w:val="single" w:sz="6"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p>
        </w:tc>
        <w:tc>
          <w:tcPr>
            <w:tcW w:w="1875" w:type="dxa"/>
            <w:tcBorders>
              <w:top w:val="single" w:sz="6"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Bean/pea/lentil products</w:t>
            </w: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869</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47.4%</w:t>
            </w:r>
          </w:p>
        </w:tc>
        <w:tc>
          <w:tcPr>
            <w:tcW w:w="1856" w:type="dxa"/>
            <w:tcBorders>
              <w:top w:val="single" w:sz="6"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0.6%</w:t>
            </w:r>
          </w:p>
        </w:tc>
      </w:tr>
      <w:tr w:rsidR="00007B4E" w:rsidRPr="00007B4E" w:rsidTr="002A75F9">
        <w:trPr>
          <w:trHeight w:val="300"/>
          <w:jc w:val="center"/>
        </w:trPr>
        <w:tc>
          <w:tcPr>
            <w:tcW w:w="1691" w:type="dxa"/>
            <w:vMerge/>
            <w:tcBorders>
              <w:left w:val="single" w:sz="4" w:space="0" w:color="auto"/>
              <w:bottom w:val="single" w:sz="6" w:space="0" w:color="auto"/>
              <w:right w:val="single" w:sz="6"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p>
        </w:tc>
        <w:tc>
          <w:tcPr>
            <w:tcW w:w="1875" w:type="dxa"/>
            <w:tcBorders>
              <w:top w:val="single" w:sz="6"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Soy products</w:t>
            </w:r>
          </w:p>
          <w:p w:rsidR="00007B4E" w:rsidRPr="00007B4E" w:rsidRDefault="00007B4E" w:rsidP="002A75F9">
            <w:pPr>
              <w:spacing w:after="0" w:line="240" w:lineRule="auto"/>
              <w:jc w:val="center"/>
              <w:rPr>
                <w:rFonts w:ascii="Arial" w:eastAsia="Times New Roman" w:hAnsi="Arial" w:cs="Arial"/>
                <w:color w:val="000000"/>
                <w:sz w:val="24"/>
                <w:szCs w:val="24"/>
                <w:lang w:eastAsia="en-C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263</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11.0%</w:t>
            </w:r>
          </w:p>
        </w:tc>
        <w:tc>
          <w:tcPr>
            <w:tcW w:w="1856" w:type="dxa"/>
            <w:tcBorders>
              <w:top w:val="single" w:sz="6"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0%</w:t>
            </w:r>
          </w:p>
        </w:tc>
      </w:tr>
      <w:tr w:rsidR="00007B4E" w:rsidRPr="00007B4E" w:rsidTr="002A75F9">
        <w:trPr>
          <w:trHeight w:val="300"/>
          <w:jc w:val="center"/>
        </w:trPr>
        <w:tc>
          <w:tcPr>
            <w:tcW w:w="1691" w:type="dxa"/>
            <w:vMerge w:val="restart"/>
            <w:tcBorders>
              <w:top w:val="single" w:sz="6" w:space="0" w:color="auto"/>
              <w:left w:val="single" w:sz="4" w:space="0" w:color="auto"/>
              <w:right w:val="single" w:sz="6"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Children’s Food Project</w:t>
            </w:r>
          </w:p>
        </w:tc>
        <w:tc>
          <w:tcPr>
            <w:tcW w:w="1875" w:type="dxa"/>
            <w:tcBorders>
              <w:top w:val="single" w:sz="6"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Infant cereal</w:t>
            </w:r>
          </w:p>
          <w:p w:rsidR="00007B4E" w:rsidRPr="00007B4E" w:rsidRDefault="00007B4E" w:rsidP="002A75F9">
            <w:pPr>
              <w:spacing w:after="0" w:line="240" w:lineRule="auto"/>
              <w:jc w:val="center"/>
              <w:rPr>
                <w:rFonts w:ascii="Arial" w:eastAsia="Times New Roman" w:hAnsi="Arial" w:cs="Arial"/>
                <w:color w:val="000000"/>
                <w:sz w:val="24"/>
                <w:szCs w:val="24"/>
                <w:lang w:eastAsia="en-C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82</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31.7%</w:t>
            </w:r>
          </w:p>
        </w:tc>
        <w:tc>
          <w:tcPr>
            <w:tcW w:w="1856" w:type="dxa"/>
            <w:tcBorders>
              <w:top w:val="single" w:sz="6"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0%</w:t>
            </w:r>
          </w:p>
        </w:tc>
      </w:tr>
      <w:tr w:rsidR="00007B4E" w:rsidRPr="00007B4E" w:rsidTr="002A75F9">
        <w:trPr>
          <w:trHeight w:val="300"/>
          <w:jc w:val="center"/>
        </w:trPr>
        <w:tc>
          <w:tcPr>
            <w:tcW w:w="1691" w:type="dxa"/>
            <w:vMerge/>
            <w:tcBorders>
              <w:left w:val="single" w:sz="4" w:space="0" w:color="auto"/>
              <w:bottom w:val="single" w:sz="4" w:space="0" w:color="auto"/>
              <w:right w:val="single" w:sz="6" w:space="0" w:color="auto"/>
            </w:tcBorders>
            <w:vAlign w:val="center"/>
          </w:tcPr>
          <w:p w:rsidR="00007B4E" w:rsidRPr="00007B4E" w:rsidRDefault="00007B4E" w:rsidP="002A75F9">
            <w:pPr>
              <w:spacing w:after="0" w:line="240" w:lineRule="auto"/>
              <w:rPr>
                <w:rFonts w:ascii="Arial" w:eastAsia="Times New Roman" w:hAnsi="Arial" w:cs="Arial"/>
                <w:color w:val="000000"/>
                <w:sz w:val="24"/>
                <w:szCs w:val="24"/>
                <w:lang w:eastAsia="en-CA"/>
              </w:rPr>
            </w:pPr>
          </w:p>
        </w:tc>
        <w:tc>
          <w:tcPr>
            <w:tcW w:w="1875" w:type="dxa"/>
            <w:tcBorders>
              <w:top w:val="single" w:sz="6"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Infant food</w:t>
            </w:r>
          </w:p>
          <w:p w:rsidR="00007B4E" w:rsidRPr="00007B4E" w:rsidRDefault="00007B4E" w:rsidP="002A75F9">
            <w:pPr>
              <w:spacing w:after="0" w:line="240" w:lineRule="auto"/>
              <w:jc w:val="center"/>
              <w:rPr>
                <w:rFonts w:ascii="Arial" w:eastAsia="Times New Roman" w:hAnsi="Arial" w:cs="Arial"/>
                <w:color w:val="000000"/>
                <w:sz w:val="24"/>
                <w:szCs w:val="24"/>
                <w:lang w:eastAsia="en-CA"/>
              </w:rPr>
            </w:pP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127</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30.7%</w:t>
            </w:r>
          </w:p>
        </w:tc>
        <w:tc>
          <w:tcPr>
            <w:tcW w:w="1856" w:type="dxa"/>
            <w:tcBorders>
              <w:top w:val="single" w:sz="6"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r w:rsidRPr="00007B4E">
              <w:rPr>
                <w:rFonts w:ascii="Arial" w:eastAsia="Times New Roman" w:hAnsi="Arial" w:cs="Arial"/>
                <w:color w:val="000000"/>
                <w:sz w:val="24"/>
                <w:szCs w:val="24"/>
                <w:lang w:eastAsia="en-CA"/>
              </w:rPr>
              <w:t>0%</w:t>
            </w:r>
          </w:p>
        </w:tc>
      </w:tr>
      <w:tr w:rsidR="00007B4E" w:rsidRPr="00007B4E" w:rsidTr="002A75F9">
        <w:trPr>
          <w:trHeight w:val="300"/>
          <w:jc w:val="center"/>
        </w:trPr>
        <w:tc>
          <w:tcPr>
            <w:tcW w:w="1691" w:type="dxa"/>
            <w:tcBorders>
              <w:top w:val="single" w:sz="4" w:space="0" w:color="auto"/>
              <w:left w:val="single" w:sz="4" w:space="0" w:color="auto"/>
              <w:bottom w:val="single" w:sz="4" w:space="0" w:color="auto"/>
              <w:right w:val="single" w:sz="4" w:space="0" w:color="auto"/>
            </w:tcBorders>
            <w:vAlign w:val="center"/>
          </w:tcPr>
          <w:p w:rsidR="00007B4E" w:rsidRPr="00007B4E" w:rsidRDefault="00007B4E" w:rsidP="002A75F9">
            <w:pPr>
              <w:spacing w:after="0" w:line="240" w:lineRule="auto"/>
              <w:jc w:val="center"/>
              <w:rPr>
                <w:rFonts w:ascii="Arial" w:eastAsia="Times New Roman" w:hAnsi="Arial" w:cs="Arial"/>
                <w:color w:val="000000"/>
                <w:sz w:val="24"/>
                <w:szCs w:val="24"/>
                <w:lang w:eastAsia="en-CA"/>
              </w:rPr>
            </w:pPr>
          </w:p>
        </w:tc>
        <w:tc>
          <w:tcPr>
            <w:tcW w:w="1875" w:type="dxa"/>
            <w:tcBorders>
              <w:top w:val="single" w:sz="6" w:space="0" w:color="auto"/>
              <w:left w:val="single" w:sz="4"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TOTAL</w:t>
            </w:r>
          </w:p>
        </w:tc>
        <w:tc>
          <w:tcPr>
            <w:tcW w:w="135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3,188</w:t>
            </w:r>
          </w:p>
        </w:tc>
        <w:tc>
          <w:tcPr>
            <w:tcW w:w="1980" w:type="dxa"/>
            <w:tcBorders>
              <w:top w:val="single" w:sz="6" w:space="0" w:color="auto"/>
              <w:left w:val="single" w:sz="6" w:space="0" w:color="auto"/>
              <w:bottom w:val="single" w:sz="6" w:space="0" w:color="auto"/>
              <w:right w:val="single" w:sz="6"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29.7%</w:t>
            </w:r>
          </w:p>
        </w:tc>
        <w:tc>
          <w:tcPr>
            <w:tcW w:w="1856" w:type="dxa"/>
            <w:tcBorders>
              <w:top w:val="single" w:sz="6" w:space="0" w:color="auto"/>
              <w:left w:val="single" w:sz="6" w:space="0" w:color="auto"/>
              <w:bottom w:val="single" w:sz="6" w:space="0" w:color="auto"/>
              <w:right w:val="single" w:sz="4" w:space="0" w:color="auto"/>
            </w:tcBorders>
            <w:shd w:val="clear" w:color="auto" w:fill="auto"/>
            <w:noWrap/>
            <w:vAlign w:val="center"/>
          </w:tcPr>
          <w:p w:rsidR="00007B4E" w:rsidRPr="00007B4E" w:rsidRDefault="00007B4E" w:rsidP="002A75F9">
            <w:pPr>
              <w:spacing w:after="0" w:line="240" w:lineRule="auto"/>
              <w:jc w:val="center"/>
              <w:rPr>
                <w:rFonts w:ascii="Arial" w:eastAsia="Times New Roman" w:hAnsi="Arial" w:cs="Arial"/>
                <w:b/>
                <w:color w:val="000000"/>
                <w:sz w:val="24"/>
                <w:szCs w:val="24"/>
                <w:lang w:eastAsia="en-CA"/>
              </w:rPr>
            </w:pPr>
            <w:r w:rsidRPr="00007B4E">
              <w:rPr>
                <w:rFonts w:ascii="Arial" w:eastAsia="Times New Roman" w:hAnsi="Arial" w:cs="Arial"/>
                <w:b/>
                <w:color w:val="000000"/>
                <w:sz w:val="24"/>
                <w:szCs w:val="24"/>
                <w:lang w:eastAsia="en-CA"/>
              </w:rPr>
              <w:t>1.3%</w:t>
            </w:r>
          </w:p>
        </w:tc>
      </w:tr>
    </w:tbl>
    <w:p w:rsidR="00007B4E" w:rsidRPr="00007B4E" w:rsidRDefault="00007B4E" w:rsidP="00007B4E">
      <w:pPr>
        <w:spacing w:after="0"/>
        <w:rPr>
          <w:rFonts w:ascii="Arial" w:eastAsia="Times New Roman" w:hAnsi="Arial" w:cs="Arial"/>
          <w:sz w:val="24"/>
          <w:szCs w:val="24"/>
          <w:lang w:eastAsia="en-CA"/>
        </w:rPr>
      </w:pPr>
    </w:p>
    <w:p w:rsidR="00007B4E" w:rsidRPr="00007B4E" w:rsidRDefault="00007B4E" w:rsidP="00007B4E">
      <w:pPr>
        <w:spacing w:after="0"/>
        <w:rPr>
          <w:rFonts w:ascii="Arial" w:eastAsia="Times New Roman" w:hAnsi="Arial" w:cs="Arial"/>
          <w:b/>
          <w:sz w:val="32"/>
          <w:szCs w:val="32"/>
          <w:lang w:eastAsia="en-CA"/>
        </w:rPr>
      </w:pPr>
      <w:r w:rsidRPr="00007B4E">
        <w:rPr>
          <w:rFonts w:ascii="Arial" w:eastAsia="Times New Roman" w:hAnsi="Arial" w:cs="Arial"/>
          <w:b/>
          <w:sz w:val="32"/>
          <w:szCs w:val="32"/>
          <w:lang w:eastAsia="en-CA"/>
        </w:rPr>
        <w:t>Summary</w:t>
      </w:r>
    </w:p>
    <w:p w:rsidR="00007B4E" w:rsidRPr="00007B4E" w:rsidRDefault="00007B4E" w:rsidP="00007B4E">
      <w:pPr>
        <w:spacing w:after="0"/>
        <w:rPr>
          <w:rFonts w:ascii="Arial" w:hAnsi="Arial" w:cs="Arial"/>
          <w:sz w:val="24"/>
          <w:szCs w:val="24"/>
        </w:rPr>
      </w:pPr>
    </w:p>
    <w:p w:rsidR="00DE3E04" w:rsidRPr="00E42C1D" w:rsidRDefault="00007B4E" w:rsidP="00E42C1D">
      <w:pPr>
        <w:spacing w:before="240" w:after="0"/>
        <w:rPr>
          <w:rFonts w:ascii="Arial" w:hAnsi="Arial" w:cs="Arial"/>
          <w:sz w:val="24"/>
          <w:szCs w:val="24"/>
        </w:rPr>
      </w:pPr>
      <w:r w:rsidRPr="00007B4E">
        <w:rPr>
          <w:rFonts w:ascii="Arial" w:hAnsi="Arial" w:cs="Arial"/>
          <w:sz w:val="24"/>
          <w:szCs w:val="24"/>
        </w:rPr>
        <w:t xml:space="preserve">In 2015-2016, the CFIA tested a total of 3,188 food samples for glyphosate. Glyphosate was found in 29.7% of samples. Glyphosate residues above MRLs were found in only 1.3% of samples. This data was evaluated by Health Canada and no human </w:t>
      </w:r>
      <w:r w:rsidR="00E42C1D">
        <w:rPr>
          <w:rFonts w:ascii="Arial" w:hAnsi="Arial" w:cs="Arial"/>
          <w:sz w:val="24"/>
          <w:szCs w:val="24"/>
        </w:rPr>
        <w:t>health concerns were identified</w:t>
      </w:r>
      <w:r w:rsidR="00164164">
        <w:rPr>
          <w:rFonts w:ascii="Arial" w:hAnsi="Arial" w:cs="Arial"/>
          <w:sz w:val="24"/>
          <w:szCs w:val="24"/>
        </w:rPr>
        <w:t>.</w:t>
      </w:r>
    </w:p>
    <w:p w:rsidR="00DE3E04" w:rsidRPr="00DE3E04" w:rsidRDefault="00DE3E04" w:rsidP="00DE3E04">
      <w:pPr>
        <w:keepNext/>
        <w:rPr>
          <w:rFonts w:ascii="Arial" w:hAnsi="Arial" w:cs="Arial"/>
          <w:sz w:val="24"/>
          <w:szCs w:val="24"/>
        </w:rPr>
      </w:pPr>
      <w:r w:rsidRPr="00DE3E04">
        <w:rPr>
          <w:rFonts w:ascii="Arial" w:hAnsi="Arial" w:cs="Arial"/>
          <w:sz w:val="24"/>
          <w:szCs w:val="24"/>
        </w:rPr>
        <w:lastRenderedPageBreak/>
        <w:t>The charts below show the percentage of samples tested in each program with no glyphosate detected, glyphosate detected below the MRLs, and glyphosate detected above the MRLs.</w:t>
      </w:r>
    </w:p>
    <w:p w:rsidR="00DE3E04" w:rsidRDefault="00DE3E04" w:rsidP="00DE3E04">
      <w:pPr>
        <w:keepNext/>
        <w:jc w:val="center"/>
        <w:rPr>
          <w:b/>
        </w:rPr>
      </w:pPr>
      <w:r w:rsidRPr="00BA2E39">
        <w:rPr>
          <w:b/>
          <w:noProof/>
          <w:lang w:eastAsia="en-CA"/>
        </w:rPr>
        <mc:AlternateContent>
          <mc:Choice Requires="wps">
            <w:drawing>
              <wp:anchor distT="0" distB="0" distL="114300" distR="114300" simplePos="0" relativeHeight="251664384" behindDoc="0" locked="0" layoutInCell="1" allowOverlap="1" wp14:anchorId="039E1D34" wp14:editId="63D2F7A1">
                <wp:simplePos x="0" y="0"/>
                <wp:positionH relativeFrom="column">
                  <wp:posOffset>-229870</wp:posOffset>
                </wp:positionH>
                <wp:positionV relativeFrom="paragraph">
                  <wp:posOffset>1025525</wp:posOffset>
                </wp:positionV>
                <wp:extent cx="2179320" cy="489585"/>
                <wp:effectExtent l="0" t="0" r="0" b="571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9320" cy="489585"/>
                        </a:xfrm>
                        <a:prstGeom prst="rect">
                          <a:avLst/>
                        </a:prstGeom>
                        <a:solidFill>
                          <a:srgbClr val="FFFFFF"/>
                        </a:solidFill>
                        <a:ln w="9525">
                          <a:noFill/>
                          <a:miter lim="800000"/>
                          <a:headEnd/>
                          <a:tailEnd/>
                        </a:ln>
                      </wps:spPr>
                      <wps:txbx>
                        <w:txbxContent>
                          <w:p w:rsidR="00DE3E04" w:rsidRDefault="00DE3E04" w:rsidP="00DE3E04">
                            <w:pPr>
                              <w:rPr>
                                <w:b/>
                              </w:rPr>
                            </w:pPr>
                            <w:r w:rsidRPr="00BA2E39">
                              <w:rPr>
                                <w:b/>
                              </w:rPr>
                              <w:t>National Chemical Residue Monitoring Program</w:t>
                            </w:r>
                          </w:p>
                          <w:p w:rsidR="00DE3E04" w:rsidRDefault="00DE3E04" w:rsidP="00DE3E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8.1pt;margin-top:80.75pt;width:171.6pt;height:38.5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" stroked="f">
                <v:textbox>
                  <w:txbxContent>
                    <w:p w:rsidR="00DE3E04" w:rsidRDefault="00DE3E04" w:rsidP="00DE3E04">
                      <w:pPr>
                        <w:rPr>
                          <w:b/>
                        </w:rPr>
                      </w:pPr>
                      <w:r w:rsidRPr="00BA2E39">
                        <w:rPr>
                          <w:b/>
                        </w:rPr>
                        <w:t>National Chemical Residue Monitoring Program</w:t>
                      </w:r>
                    </w:p>
                    <w:p w:rsidR="00DE3E04" w:rsidRDefault="00DE3E04" w:rsidP="00DE3E04"/>
                  </w:txbxContent>
                </v:textbox>
              </v:shape>
            </w:pict>
          </mc:Fallback>
        </mc:AlternateContent>
      </w:r>
      <w:r>
        <w:rPr>
          <w:noProof/>
          <w:lang w:eastAsia="en-CA"/>
        </w:rPr>
        <w:drawing>
          <wp:inline distT="0" distB="0" distL="0" distR="0" wp14:anchorId="37FE5C74" wp14:editId="342D9852">
            <wp:extent cx="2802576" cy="236319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146C33" w:rsidRDefault="00DE3E04" w:rsidP="00E42C1D">
      <w:pPr>
        <w:keepNext/>
        <w:jc w:val="center"/>
      </w:pPr>
      <w:r w:rsidRPr="00BA2E39">
        <w:rPr>
          <w:b/>
          <w:noProof/>
          <w:lang w:eastAsia="en-CA"/>
        </w:rPr>
        <mc:AlternateContent>
          <mc:Choice Requires="wps">
            <w:drawing>
              <wp:anchor distT="0" distB="0" distL="114300" distR="114300" simplePos="0" relativeHeight="251666432" behindDoc="0" locked="0" layoutInCell="1" allowOverlap="1" wp14:anchorId="134828F9" wp14:editId="5258A376">
                <wp:simplePos x="0" y="0"/>
                <wp:positionH relativeFrom="column">
                  <wp:posOffset>-271780</wp:posOffset>
                </wp:positionH>
                <wp:positionV relativeFrom="paragraph">
                  <wp:posOffset>1136980</wp:posOffset>
                </wp:positionV>
                <wp:extent cx="2374265" cy="409651"/>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09651"/>
                        </a:xfrm>
                        <a:prstGeom prst="rect">
                          <a:avLst/>
                        </a:prstGeom>
                        <a:noFill/>
                        <a:ln w="9525">
                          <a:noFill/>
                          <a:miter lim="800000"/>
                          <a:headEnd/>
                          <a:tailEnd/>
                        </a:ln>
                      </wps:spPr>
                      <wps:txbx>
                        <w:txbxContent>
                          <w:p w:rsidR="00DE3E04" w:rsidRDefault="00DE3E04" w:rsidP="00DE3E04">
                            <w:pPr>
                              <w:rPr>
                                <w:b/>
                              </w:rPr>
                            </w:pPr>
                            <w:r>
                              <w:rPr>
                                <w:b/>
                              </w:rPr>
                              <w:t>Targeted Surveys</w:t>
                            </w:r>
                          </w:p>
                          <w:p w:rsidR="00DE3E04" w:rsidRDefault="00DE3E04" w:rsidP="00DE3E04"/>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id="_x0000_s1027" type="#_x0000_t202" style="position:absolute;left:0;text-align:left;margin-left:-21.4pt;margin-top:89.55pt;width:186.95pt;height:32.25pt;z-index:25166643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" filled="f" stroked="f">
                <v:textbox>
                  <w:txbxContent>
                    <w:p w:rsidR="00DE3E04" w:rsidRDefault="00DE3E04" w:rsidP="00DE3E04">
                      <w:pPr>
                        <w:rPr>
                          <w:b/>
                        </w:rPr>
                      </w:pPr>
                      <w:r>
                        <w:rPr>
                          <w:b/>
                        </w:rPr>
                        <w:t>Targeted Surveys</w:t>
                      </w:r>
                    </w:p>
                    <w:p w:rsidR="00DE3E04" w:rsidRDefault="00DE3E04" w:rsidP="00DE3E04"/>
                  </w:txbxContent>
                </v:textbox>
              </v:shape>
            </w:pict>
          </mc:Fallback>
        </mc:AlternateContent>
      </w:r>
      <w:r>
        <w:rPr>
          <w:noProof/>
          <w:lang w:eastAsia="en-CA"/>
        </w:rPr>
        <w:drawing>
          <wp:inline distT="0" distB="0" distL="0" distR="0" wp14:anchorId="3158C032" wp14:editId="34D20EF0">
            <wp:extent cx="2802577" cy="2446316"/>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E3E04" w:rsidRPr="00DE3E04" w:rsidRDefault="00E42C1D" w:rsidP="00DE3E04">
      <w:pPr>
        <w:jc w:val="center"/>
      </w:pPr>
      <w:r>
        <w:rPr>
          <w:noProof/>
          <w:lang w:eastAsia="en-CA"/>
        </w:rPr>
        <w:drawing>
          <wp:inline distT="0" distB="0" distL="0" distR="0" wp14:anchorId="36C458E3" wp14:editId="2592D1BC">
            <wp:extent cx="2600696" cy="2422566"/>
            <wp:effectExtent l="0" t="0" r="0"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DE3E04" w:rsidRPr="00BA2E39">
        <w:rPr>
          <w:b/>
          <w:noProof/>
          <w:lang w:eastAsia="en-CA"/>
        </w:rPr>
        <mc:AlternateContent>
          <mc:Choice Requires="wps">
            <w:drawing>
              <wp:anchor distT="0" distB="0" distL="114300" distR="114300" simplePos="0" relativeHeight="251665408" behindDoc="0" locked="0" layoutInCell="1" allowOverlap="1" wp14:anchorId="224FA787" wp14:editId="64DAB77D">
                <wp:simplePos x="0" y="0"/>
                <wp:positionH relativeFrom="column">
                  <wp:posOffset>-248285</wp:posOffset>
                </wp:positionH>
                <wp:positionV relativeFrom="paragraph">
                  <wp:posOffset>1399235</wp:posOffset>
                </wp:positionV>
                <wp:extent cx="2084832" cy="277978"/>
                <wp:effectExtent l="0" t="0" r="0" b="825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4832" cy="277978"/>
                        </a:xfrm>
                        <a:prstGeom prst="rect">
                          <a:avLst/>
                        </a:prstGeom>
                        <a:solidFill>
                          <a:srgbClr val="FFFFFF"/>
                        </a:solidFill>
                        <a:ln w="9525">
                          <a:noFill/>
                          <a:miter lim="800000"/>
                          <a:headEnd/>
                          <a:tailEnd/>
                        </a:ln>
                      </wps:spPr>
                      <wps:txbx>
                        <w:txbxContent>
                          <w:p w:rsidR="00DE3E04" w:rsidRDefault="00DE3E04" w:rsidP="00DE3E04">
                            <w:pPr>
                              <w:rPr>
                                <w:b/>
                              </w:rPr>
                            </w:pPr>
                            <w:r>
                              <w:rPr>
                                <w:b/>
                              </w:rPr>
                              <w:t>Children’s Food Project</w:t>
                            </w:r>
                          </w:p>
                          <w:p w:rsidR="00DE3E04" w:rsidRDefault="00DE3E04" w:rsidP="00DE3E0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9.55pt;margin-top:110.2pt;width:164.15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" stroked="f">
                <v:textbox>
                  <w:txbxContent>
                    <w:p w:rsidR="00DE3E04" w:rsidRDefault="00DE3E04" w:rsidP="00DE3E04">
                      <w:pPr>
                        <w:rPr>
                          <w:b/>
                        </w:rPr>
                      </w:pPr>
                      <w:r>
                        <w:rPr>
                          <w:b/>
                        </w:rPr>
                        <w:t>Children’s Food Project</w:t>
                      </w:r>
                    </w:p>
                    <w:p w:rsidR="00DE3E04" w:rsidRDefault="00DE3E04" w:rsidP="00DE3E04"/>
                  </w:txbxContent>
                </v:textbox>
              </v:shape>
            </w:pict>
          </mc:Fallback>
        </mc:AlternateContent>
      </w:r>
    </w:p>
    <w:sectPr w:rsidR="00DE3E04" w:rsidRPr="00DE3E04" w:rsidSect="00DE3E04">
      <w:headerReference w:type="even" r:id="rId13"/>
      <w:headerReference w:type="default" r:id="rId14"/>
      <w:footerReference w:type="even" r:id="rId15"/>
      <w:footerReference w:type="default" r:id="rId16"/>
      <w:headerReference w:type="first" r:id="rId17"/>
      <w:footerReference w:type="first" r:id="rId18"/>
      <w:pgSz w:w="12240" w:h="15840"/>
      <w:pgMar w:top="1276" w:right="1440" w:bottom="1276"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D75" w:rsidRDefault="00B97D75" w:rsidP="00B97D75">
      <w:pPr>
        <w:spacing w:after="0" w:line="240" w:lineRule="auto"/>
      </w:pPr>
      <w:r>
        <w:separator/>
      </w:r>
    </w:p>
  </w:endnote>
  <w:endnote w:type="continuationSeparator" w:id="0">
    <w:p w:rsidR="00B97D75" w:rsidRDefault="00B97D75" w:rsidP="00B97D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6A" w:rsidRDefault="00F7046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6A" w:rsidRDefault="00F7046A">
    <w:pPr>
      <w:pStyle w:val="Footer"/>
      <w:rPr>
        <w:noProof/>
        <w:lang w:eastAsia="en-CA"/>
      </w:rPr>
    </w:pPr>
  </w:p>
  <w:p w:rsidR="00F7046A" w:rsidRDefault="00F7046A">
    <w:pPr>
      <w:pStyle w:val="Footer"/>
    </w:pPr>
    <w:r>
      <w:rPr>
        <w:noProof/>
        <w:lang w:eastAsia="en-CA"/>
      </w:rPr>
      <w:drawing>
        <wp:anchor distT="0" distB="0" distL="114300" distR="114300" simplePos="0" relativeHeight="251658240" behindDoc="1" locked="0" layoutInCell="1" allowOverlap="1" wp14:anchorId="75D17FC7" wp14:editId="011FDF3F">
          <wp:simplePos x="0" y="0"/>
          <wp:positionH relativeFrom="column">
            <wp:posOffset>-902970</wp:posOffset>
          </wp:positionH>
          <wp:positionV relativeFrom="paragraph">
            <wp:posOffset>-139700</wp:posOffset>
          </wp:positionV>
          <wp:extent cx="7753985" cy="759460"/>
          <wp:effectExtent l="0" t="0" r="0" b="2540"/>
          <wp:wrapNone/>
          <wp:docPr id="2" name="Picture 2" descr="N:\Public Affairs\Communications\PRODUCTION\Social Media and Creative Services\16-056 CFIA Common Look and Feel\Reports and Publications\Images\Publication 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Public Affairs\Communications\PRODUCTION\Social Media and Creative Services\16-056 CFIA Common Look and Feel\Reports and Publications\Images\Publication 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t="92430"/>
                  <a:stretch/>
                </pic:blipFill>
                <pic:spPr bwMode="auto">
                  <a:xfrm>
                    <a:off x="0" y="0"/>
                    <a:ext cx="7753985" cy="7594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6A" w:rsidRDefault="00F704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D75" w:rsidRDefault="00B97D75" w:rsidP="00B97D75">
      <w:pPr>
        <w:spacing w:after="0" w:line="240" w:lineRule="auto"/>
      </w:pPr>
      <w:r>
        <w:separator/>
      </w:r>
    </w:p>
  </w:footnote>
  <w:footnote w:type="continuationSeparator" w:id="0">
    <w:p w:rsidR="00B97D75" w:rsidRDefault="00B97D75" w:rsidP="00B97D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46A" w:rsidRDefault="00F7046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75" w:rsidRDefault="00F7046A">
    <w:pPr>
      <w:pStyle w:val="Header"/>
    </w:pPr>
    <w:r>
      <w:rPr>
        <w:noProof/>
        <w:lang w:eastAsia="en-CA"/>
      </w:rPr>
      <w:drawing>
        <wp:anchor distT="0" distB="0" distL="114300" distR="114300" simplePos="0" relativeHeight="251657215" behindDoc="1" locked="0" layoutInCell="1" allowOverlap="1" wp14:anchorId="4AD43812" wp14:editId="4A77ED25">
          <wp:simplePos x="0" y="0"/>
          <wp:positionH relativeFrom="column">
            <wp:posOffset>822325</wp:posOffset>
          </wp:positionH>
          <wp:positionV relativeFrom="paragraph">
            <wp:posOffset>1524825</wp:posOffset>
          </wp:positionV>
          <wp:extent cx="6028690" cy="7801610"/>
          <wp:effectExtent l="0" t="0" r="0" b="8890"/>
          <wp:wrapNone/>
          <wp:docPr id="1" name="Picture 1" descr="E:\CLF\Watermark Letter P-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LF\Watermark Letter P-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028690" cy="78016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D75" w:rsidRDefault="00B97D75">
    <w:pPr>
      <w:pStyle w:val="Header"/>
    </w:pPr>
    <w:r>
      <w:rPr>
        <w:noProof/>
        <w:lang w:eastAsia="en-CA"/>
      </w:rPr>
      <w:drawing>
        <wp:anchor distT="0" distB="0" distL="114300" distR="114300" simplePos="0" relativeHeight="251660288" behindDoc="1" locked="1" layoutInCell="1" allowOverlap="1" wp14:anchorId="3EC42138" wp14:editId="053B3711">
          <wp:simplePos x="0" y="0"/>
          <wp:positionH relativeFrom="column">
            <wp:posOffset>-937895</wp:posOffset>
          </wp:positionH>
          <wp:positionV relativeFrom="paragraph">
            <wp:posOffset>-426085</wp:posOffset>
          </wp:positionV>
          <wp:extent cx="7847330" cy="10154920"/>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Public Affairs\Communications\PRODUCTION\Social Media and Creative Services\16-056 CFIA Common Look and Feel\Reports and Publications\Images\EN\Publication Animal EN.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847330" cy="101549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2976C8"/>
    <w:multiLevelType w:val="hybridMultilevel"/>
    <w:tmpl w:val="4BE87AA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589816EF"/>
    <w:multiLevelType w:val="multilevel"/>
    <w:tmpl w:val="7A00C6F4"/>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rPr>
        <w:i w:val="0"/>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2">
    <w:nsid w:val="5D63608C"/>
    <w:multiLevelType w:val="hybridMultilevel"/>
    <w:tmpl w:val="567C259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nsid w:val="7C261B2C"/>
    <w:multiLevelType w:val="hybridMultilevel"/>
    <w:tmpl w:val="4D7273A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7D75"/>
    <w:rsid w:val="00007B4E"/>
    <w:rsid w:val="000E53C7"/>
    <w:rsid w:val="00146C33"/>
    <w:rsid w:val="00164164"/>
    <w:rsid w:val="003A308A"/>
    <w:rsid w:val="00540541"/>
    <w:rsid w:val="0091570A"/>
    <w:rsid w:val="00A22742"/>
    <w:rsid w:val="00A57236"/>
    <w:rsid w:val="00B97D75"/>
    <w:rsid w:val="00DE3E04"/>
    <w:rsid w:val="00E42C1D"/>
    <w:rsid w:val="00F7046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007B4E"/>
    <w:pPr>
      <w:keepNext/>
      <w:numPr>
        <w:numId w:val="2"/>
      </w:numPr>
      <w:spacing w:before="240" w:after="60" w:line="240" w:lineRule="auto"/>
      <w:outlineLvl w:val="0"/>
    </w:pPr>
    <w:rPr>
      <w:rFonts w:ascii="Arial" w:eastAsia="Times New Roman" w:hAnsi="Arial" w:cs="Arial"/>
      <w:b/>
      <w:bCs/>
      <w:kern w:val="32"/>
      <w:sz w:val="32"/>
      <w:szCs w:val="32"/>
      <w:lang w:eastAsia="en-CA"/>
    </w:rPr>
  </w:style>
  <w:style w:type="paragraph" w:styleId="Heading2">
    <w:name w:val="heading 2"/>
    <w:basedOn w:val="Normal"/>
    <w:next w:val="Normal"/>
    <w:link w:val="Heading2Char"/>
    <w:qFormat/>
    <w:rsid w:val="00007B4E"/>
    <w:pPr>
      <w:keepNext/>
      <w:numPr>
        <w:ilvl w:val="1"/>
        <w:numId w:val="2"/>
      </w:numPr>
      <w:spacing w:before="240" w:after="60" w:line="240" w:lineRule="auto"/>
      <w:outlineLvl w:val="1"/>
    </w:pPr>
    <w:rPr>
      <w:rFonts w:ascii="Arial" w:eastAsia="Times New Roman" w:hAnsi="Arial" w:cs="Arial"/>
      <w:b/>
      <w:bCs/>
      <w:i/>
      <w:iCs/>
      <w:sz w:val="28"/>
      <w:szCs w:val="28"/>
      <w:lang w:eastAsia="en-CA"/>
    </w:rPr>
  </w:style>
  <w:style w:type="paragraph" w:styleId="Heading3">
    <w:name w:val="heading 3"/>
    <w:basedOn w:val="Normal"/>
    <w:next w:val="Normal"/>
    <w:link w:val="Heading3Char"/>
    <w:qFormat/>
    <w:rsid w:val="00007B4E"/>
    <w:pPr>
      <w:keepNext/>
      <w:numPr>
        <w:ilvl w:val="2"/>
        <w:numId w:val="2"/>
      </w:numPr>
      <w:spacing w:before="240" w:after="60" w:line="240" w:lineRule="auto"/>
      <w:outlineLvl w:val="2"/>
    </w:pPr>
    <w:rPr>
      <w:rFonts w:ascii="Arial" w:eastAsia="Times New Roman" w:hAnsi="Arial" w:cs="Arial"/>
      <w:b/>
      <w:bCs/>
      <w:sz w:val="26"/>
      <w:szCs w:val="26"/>
      <w:lang w:eastAsia="en-CA"/>
    </w:rPr>
  </w:style>
  <w:style w:type="paragraph" w:styleId="Heading4">
    <w:name w:val="heading 4"/>
    <w:basedOn w:val="Normal"/>
    <w:next w:val="Normal"/>
    <w:link w:val="Heading4Char"/>
    <w:qFormat/>
    <w:rsid w:val="00007B4E"/>
    <w:pPr>
      <w:keepNext/>
      <w:numPr>
        <w:ilvl w:val="3"/>
        <w:numId w:val="2"/>
      </w:numPr>
      <w:spacing w:before="240" w:after="60" w:line="240" w:lineRule="auto"/>
      <w:outlineLvl w:val="3"/>
    </w:pPr>
    <w:rPr>
      <w:rFonts w:ascii="Times New Roman" w:eastAsia="Times New Roman" w:hAnsi="Times New Roman" w:cs="Times New Roman"/>
      <w:b/>
      <w:bCs/>
      <w:sz w:val="28"/>
      <w:szCs w:val="28"/>
      <w:lang w:eastAsia="en-CA"/>
    </w:rPr>
  </w:style>
  <w:style w:type="paragraph" w:styleId="Heading5">
    <w:name w:val="heading 5"/>
    <w:basedOn w:val="Normal"/>
    <w:next w:val="Normal"/>
    <w:link w:val="Heading5Char"/>
    <w:qFormat/>
    <w:rsid w:val="00007B4E"/>
    <w:pPr>
      <w:numPr>
        <w:ilvl w:val="4"/>
        <w:numId w:val="2"/>
      </w:numPr>
      <w:spacing w:before="240" w:after="60" w:line="240" w:lineRule="auto"/>
      <w:outlineLvl w:val="4"/>
    </w:pPr>
    <w:rPr>
      <w:rFonts w:ascii="Times New Roman" w:eastAsia="Times New Roman" w:hAnsi="Times New Roman" w:cs="Times New Roman"/>
      <w:b/>
      <w:bCs/>
      <w:i/>
      <w:iCs/>
      <w:sz w:val="26"/>
      <w:szCs w:val="26"/>
      <w:lang w:eastAsia="en-CA"/>
    </w:rPr>
  </w:style>
  <w:style w:type="paragraph" w:styleId="Heading6">
    <w:name w:val="heading 6"/>
    <w:basedOn w:val="Normal"/>
    <w:next w:val="Normal"/>
    <w:link w:val="Heading6Char"/>
    <w:qFormat/>
    <w:rsid w:val="00007B4E"/>
    <w:pPr>
      <w:numPr>
        <w:ilvl w:val="5"/>
        <w:numId w:val="2"/>
      </w:numPr>
      <w:spacing w:before="240" w:after="60" w:line="240" w:lineRule="auto"/>
      <w:outlineLvl w:val="5"/>
    </w:pPr>
    <w:rPr>
      <w:rFonts w:ascii="Times New Roman" w:eastAsia="Times New Roman" w:hAnsi="Times New Roman" w:cs="Times New Roman"/>
      <w:b/>
      <w:bCs/>
      <w:lang w:eastAsia="en-CA"/>
    </w:rPr>
  </w:style>
  <w:style w:type="paragraph" w:styleId="Heading7">
    <w:name w:val="heading 7"/>
    <w:basedOn w:val="Normal"/>
    <w:next w:val="Normal"/>
    <w:link w:val="Heading7Char"/>
    <w:qFormat/>
    <w:rsid w:val="00007B4E"/>
    <w:pPr>
      <w:numPr>
        <w:ilvl w:val="6"/>
        <w:numId w:val="2"/>
      </w:numPr>
      <w:spacing w:before="240" w:after="60" w:line="240" w:lineRule="auto"/>
      <w:outlineLvl w:val="6"/>
    </w:pPr>
    <w:rPr>
      <w:rFonts w:ascii="Times New Roman" w:eastAsia="Times New Roman" w:hAnsi="Times New Roman" w:cs="Times New Roman"/>
      <w:sz w:val="24"/>
      <w:szCs w:val="24"/>
      <w:lang w:eastAsia="en-CA"/>
    </w:rPr>
  </w:style>
  <w:style w:type="paragraph" w:styleId="Heading8">
    <w:name w:val="heading 8"/>
    <w:basedOn w:val="Normal"/>
    <w:next w:val="Normal"/>
    <w:link w:val="Heading8Char"/>
    <w:qFormat/>
    <w:rsid w:val="00007B4E"/>
    <w:pPr>
      <w:numPr>
        <w:ilvl w:val="7"/>
        <w:numId w:val="2"/>
      </w:numPr>
      <w:spacing w:before="240" w:after="60" w:line="240" w:lineRule="auto"/>
      <w:outlineLvl w:val="7"/>
    </w:pPr>
    <w:rPr>
      <w:rFonts w:ascii="Times New Roman" w:eastAsia="Times New Roman" w:hAnsi="Times New Roman" w:cs="Times New Roman"/>
      <w:i/>
      <w:iCs/>
      <w:sz w:val="24"/>
      <w:szCs w:val="24"/>
      <w:lang w:eastAsia="en-CA"/>
    </w:rPr>
  </w:style>
  <w:style w:type="paragraph" w:styleId="Heading9">
    <w:name w:val="heading 9"/>
    <w:basedOn w:val="Normal"/>
    <w:next w:val="Normal"/>
    <w:link w:val="Heading9Char"/>
    <w:qFormat/>
    <w:rsid w:val="00007B4E"/>
    <w:pPr>
      <w:numPr>
        <w:ilvl w:val="8"/>
        <w:numId w:val="2"/>
      </w:numPr>
      <w:spacing w:before="240" w:after="60" w:line="240" w:lineRule="auto"/>
      <w:outlineLvl w:val="8"/>
    </w:pPr>
    <w:rPr>
      <w:rFonts w:ascii="Arial" w:eastAsia="Times New Roman" w:hAnsi="Arial" w:cs="Arial"/>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D75"/>
    <w:rPr>
      <w:rFonts w:ascii="Tahoma" w:hAnsi="Tahoma" w:cs="Tahoma"/>
      <w:sz w:val="16"/>
      <w:szCs w:val="16"/>
    </w:rPr>
  </w:style>
  <w:style w:type="paragraph" w:styleId="Header">
    <w:name w:val="header"/>
    <w:basedOn w:val="Normal"/>
    <w:link w:val="HeaderChar"/>
    <w:uiPriority w:val="99"/>
    <w:unhideWhenUsed/>
    <w:rsid w:val="00B97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D75"/>
  </w:style>
  <w:style w:type="paragraph" w:styleId="Footer">
    <w:name w:val="footer"/>
    <w:basedOn w:val="Normal"/>
    <w:link w:val="FooterChar"/>
    <w:uiPriority w:val="99"/>
    <w:unhideWhenUsed/>
    <w:rsid w:val="00B97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D75"/>
  </w:style>
  <w:style w:type="character" w:customStyle="1" w:styleId="Heading1Char">
    <w:name w:val="Heading 1 Char"/>
    <w:basedOn w:val="DefaultParagraphFont"/>
    <w:uiPriority w:val="9"/>
    <w:rsid w:val="00007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07B4E"/>
    <w:rPr>
      <w:rFonts w:ascii="Arial" w:eastAsia="Times New Roman" w:hAnsi="Arial" w:cs="Arial"/>
      <w:b/>
      <w:bCs/>
      <w:i/>
      <w:iCs/>
      <w:sz w:val="28"/>
      <w:szCs w:val="28"/>
      <w:lang w:eastAsia="en-CA"/>
    </w:rPr>
  </w:style>
  <w:style w:type="character" w:customStyle="1" w:styleId="Heading3Char">
    <w:name w:val="Heading 3 Char"/>
    <w:basedOn w:val="DefaultParagraphFont"/>
    <w:link w:val="Heading3"/>
    <w:rsid w:val="00007B4E"/>
    <w:rPr>
      <w:rFonts w:ascii="Arial" w:eastAsia="Times New Roman" w:hAnsi="Arial" w:cs="Arial"/>
      <w:b/>
      <w:bCs/>
      <w:sz w:val="26"/>
      <w:szCs w:val="26"/>
      <w:lang w:eastAsia="en-CA"/>
    </w:rPr>
  </w:style>
  <w:style w:type="character" w:customStyle="1" w:styleId="Heading4Char">
    <w:name w:val="Heading 4 Char"/>
    <w:basedOn w:val="DefaultParagraphFont"/>
    <w:link w:val="Heading4"/>
    <w:rsid w:val="00007B4E"/>
    <w:rPr>
      <w:rFonts w:ascii="Times New Roman" w:eastAsia="Times New Roman" w:hAnsi="Times New Roman" w:cs="Times New Roman"/>
      <w:b/>
      <w:bCs/>
      <w:sz w:val="28"/>
      <w:szCs w:val="28"/>
      <w:lang w:eastAsia="en-CA"/>
    </w:rPr>
  </w:style>
  <w:style w:type="character" w:customStyle="1" w:styleId="Heading5Char">
    <w:name w:val="Heading 5 Char"/>
    <w:basedOn w:val="DefaultParagraphFont"/>
    <w:link w:val="Heading5"/>
    <w:rsid w:val="00007B4E"/>
    <w:rPr>
      <w:rFonts w:ascii="Times New Roman" w:eastAsia="Times New Roman" w:hAnsi="Times New Roman" w:cs="Times New Roman"/>
      <w:b/>
      <w:bCs/>
      <w:i/>
      <w:iCs/>
      <w:sz w:val="26"/>
      <w:szCs w:val="26"/>
      <w:lang w:eastAsia="en-CA"/>
    </w:rPr>
  </w:style>
  <w:style w:type="character" w:customStyle="1" w:styleId="Heading6Char">
    <w:name w:val="Heading 6 Char"/>
    <w:basedOn w:val="DefaultParagraphFont"/>
    <w:link w:val="Heading6"/>
    <w:rsid w:val="00007B4E"/>
    <w:rPr>
      <w:rFonts w:ascii="Times New Roman" w:eastAsia="Times New Roman" w:hAnsi="Times New Roman" w:cs="Times New Roman"/>
      <w:b/>
      <w:bCs/>
      <w:lang w:eastAsia="en-CA"/>
    </w:rPr>
  </w:style>
  <w:style w:type="character" w:customStyle="1" w:styleId="Heading7Char">
    <w:name w:val="Heading 7 Char"/>
    <w:basedOn w:val="DefaultParagraphFont"/>
    <w:link w:val="Heading7"/>
    <w:rsid w:val="00007B4E"/>
    <w:rPr>
      <w:rFonts w:ascii="Times New Roman" w:eastAsia="Times New Roman" w:hAnsi="Times New Roman" w:cs="Times New Roman"/>
      <w:sz w:val="24"/>
      <w:szCs w:val="24"/>
      <w:lang w:eastAsia="en-CA"/>
    </w:rPr>
  </w:style>
  <w:style w:type="character" w:customStyle="1" w:styleId="Heading8Char">
    <w:name w:val="Heading 8 Char"/>
    <w:basedOn w:val="DefaultParagraphFont"/>
    <w:link w:val="Heading8"/>
    <w:rsid w:val="00007B4E"/>
    <w:rPr>
      <w:rFonts w:ascii="Times New Roman" w:eastAsia="Times New Roman" w:hAnsi="Times New Roman" w:cs="Times New Roman"/>
      <w:i/>
      <w:iCs/>
      <w:sz w:val="24"/>
      <w:szCs w:val="24"/>
      <w:lang w:eastAsia="en-CA"/>
    </w:rPr>
  </w:style>
  <w:style w:type="character" w:customStyle="1" w:styleId="Heading9Char">
    <w:name w:val="Heading 9 Char"/>
    <w:basedOn w:val="DefaultParagraphFont"/>
    <w:link w:val="Heading9"/>
    <w:rsid w:val="00007B4E"/>
    <w:rPr>
      <w:rFonts w:ascii="Arial" w:eastAsia="Times New Roman" w:hAnsi="Arial" w:cs="Arial"/>
      <w:lang w:eastAsia="en-CA"/>
    </w:rPr>
  </w:style>
  <w:style w:type="character" w:styleId="Hyperlink">
    <w:name w:val="Hyperlink"/>
    <w:basedOn w:val="DefaultParagraphFont"/>
    <w:uiPriority w:val="99"/>
    <w:unhideWhenUsed/>
    <w:rsid w:val="00007B4E"/>
    <w:rPr>
      <w:color w:val="0000FF"/>
      <w:u w:val="single"/>
    </w:rPr>
  </w:style>
  <w:style w:type="paragraph" w:styleId="ListParagraph">
    <w:name w:val="List Paragraph"/>
    <w:basedOn w:val="Normal"/>
    <w:uiPriority w:val="34"/>
    <w:qFormat/>
    <w:rsid w:val="00007B4E"/>
    <w:pPr>
      <w:ind w:left="720"/>
      <w:contextualSpacing/>
    </w:pPr>
  </w:style>
  <w:style w:type="character" w:customStyle="1" w:styleId="Heading1Char1">
    <w:name w:val="Heading 1 Char1"/>
    <w:link w:val="Heading1"/>
    <w:rsid w:val="00007B4E"/>
    <w:rPr>
      <w:rFonts w:ascii="Arial" w:eastAsia="Times New Roman" w:hAnsi="Arial" w:cs="Arial"/>
      <w:b/>
      <w:bCs/>
      <w:kern w:val="32"/>
      <w:sz w:val="32"/>
      <w:szCs w:val="32"/>
      <w:lang w:eastAsia="en-C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1"/>
    <w:qFormat/>
    <w:rsid w:val="00007B4E"/>
    <w:pPr>
      <w:keepNext/>
      <w:numPr>
        <w:numId w:val="2"/>
      </w:numPr>
      <w:spacing w:before="240" w:after="60" w:line="240" w:lineRule="auto"/>
      <w:outlineLvl w:val="0"/>
    </w:pPr>
    <w:rPr>
      <w:rFonts w:ascii="Arial" w:eastAsia="Times New Roman" w:hAnsi="Arial" w:cs="Arial"/>
      <w:b/>
      <w:bCs/>
      <w:kern w:val="32"/>
      <w:sz w:val="32"/>
      <w:szCs w:val="32"/>
      <w:lang w:eastAsia="en-CA"/>
    </w:rPr>
  </w:style>
  <w:style w:type="paragraph" w:styleId="Heading2">
    <w:name w:val="heading 2"/>
    <w:basedOn w:val="Normal"/>
    <w:next w:val="Normal"/>
    <w:link w:val="Heading2Char"/>
    <w:qFormat/>
    <w:rsid w:val="00007B4E"/>
    <w:pPr>
      <w:keepNext/>
      <w:numPr>
        <w:ilvl w:val="1"/>
        <w:numId w:val="2"/>
      </w:numPr>
      <w:spacing w:before="240" w:after="60" w:line="240" w:lineRule="auto"/>
      <w:outlineLvl w:val="1"/>
    </w:pPr>
    <w:rPr>
      <w:rFonts w:ascii="Arial" w:eastAsia="Times New Roman" w:hAnsi="Arial" w:cs="Arial"/>
      <w:b/>
      <w:bCs/>
      <w:i/>
      <w:iCs/>
      <w:sz w:val="28"/>
      <w:szCs w:val="28"/>
      <w:lang w:eastAsia="en-CA"/>
    </w:rPr>
  </w:style>
  <w:style w:type="paragraph" w:styleId="Heading3">
    <w:name w:val="heading 3"/>
    <w:basedOn w:val="Normal"/>
    <w:next w:val="Normal"/>
    <w:link w:val="Heading3Char"/>
    <w:qFormat/>
    <w:rsid w:val="00007B4E"/>
    <w:pPr>
      <w:keepNext/>
      <w:numPr>
        <w:ilvl w:val="2"/>
        <w:numId w:val="2"/>
      </w:numPr>
      <w:spacing w:before="240" w:after="60" w:line="240" w:lineRule="auto"/>
      <w:outlineLvl w:val="2"/>
    </w:pPr>
    <w:rPr>
      <w:rFonts w:ascii="Arial" w:eastAsia="Times New Roman" w:hAnsi="Arial" w:cs="Arial"/>
      <w:b/>
      <w:bCs/>
      <w:sz w:val="26"/>
      <w:szCs w:val="26"/>
      <w:lang w:eastAsia="en-CA"/>
    </w:rPr>
  </w:style>
  <w:style w:type="paragraph" w:styleId="Heading4">
    <w:name w:val="heading 4"/>
    <w:basedOn w:val="Normal"/>
    <w:next w:val="Normal"/>
    <w:link w:val="Heading4Char"/>
    <w:qFormat/>
    <w:rsid w:val="00007B4E"/>
    <w:pPr>
      <w:keepNext/>
      <w:numPr>
        <w:ilvl w:val="3"/>
        <w:numId w:val="2"/>
      </w:numPr>
      <w:spacing w:before="240" w:after="60" w:line="240" w:lineRule="auto"/>
      <w:outlineLvl w:val="3"/>
    </w:pPr>
    <w:rPr>
      <w:rFonts w:ascii="Times New Roman" w:eastAsia="Times New Roman" w:hAnsi="Times New Roman" w:cs="Times New Roman"/>
      <w:b/>
      <w:bCs/>
      <w:sz w:val="28"/>
      <w:szCs w:val="28"/>
      <w:lang w:eastAsia="en-CA"/>
    </w:rPr>
  </w:style>
  <w:style w:type="paragraph" w:styleId="Heading5">
    <w:name w:val="heading 5"/>
    <w:basedOn w:val="Normal"/>
    <w:next w:val="Normal"/>
    <w:link w:val="Heading5Char"/>
    <w:qFormat/>
    <w:rsid w:val="00007B4E"/>
    <w:pPr>
      <w:numPr>
        <w:ilvl w:val="4"/>
        <w:numId w:val="2"/>
      </w:numPr>
      <w:spacing w:before="240" w:after="60" w:line="240" w:lineRule="auto"/>
      <w:outlineLvl w:val="4"/>
    </w:pPr>
    <w:rPr>
      <w:rFonts w:ascii="Times New Roman" w:eastAsia="Times New Roman" w:hAnsi="Times New Roman" w:cs="Times New Roman"/>
      <w:b/>
      <w:bCs/>
      <w:i/>
      <w:iCs/>
      <w:sz w:val="26"/>
      <w:szCs w:val="26"/>
      <w:lang w:eastAsia="en-CA"/>
    </w:rPr>
  </w:style>
  <w:style w:type="paragraph" w:styleId="Heading6">
    <w:name w:val="heading 6"/>
    <w:basedOn w:val="Normal"/>
    <w:next w:val="Normal"/>
    <w:link w:val="Heading6Char"/>
    <w:qFormat/>
    <w:rsid w:val="00007B4E"/>
    <w:pPr>
      <w:numPr>
        <w:ilvl w:val="5"/>
        <w:numId w:val="2"/>
      </w:numPr>
      <w:spacing w:before="240" w:after="60" w:line="240" w:lineRule="auto"/>
      <w:outlineLvl w:val="5"/>
    </w:pPr>
    <w:rPr>
      <w:rFonts w:ascii="Times New Roman" w:eastAsia="Times New Roman" w:hAnsi="Times New Roman" w:cs="Times New Roman"/>
      <w:b/>
      <w:bCs/>
      <w:lang w:eastAsia="en-CA"/>
    </w:rPr>
  </w:style>
  <w:style w:type="paragraph" w:styleId="Heading7">
    <w:name w:val="heading 7"/>
    <w:basedOn w:val="Normal"/>
    <w:next w:val="Normal"/>
    <w:link w:val="Heading7Char"/>
    <w:qFormat/>
    <w:rsid w:val="00007B4E"/>
    <w:pPr>
      <w:numPr>
        <w:ilvl w:val="6"/>
        <w:numId w:val="2"/>
      </w:numPr>
      <w:spacing w:before="240" w:after="60" w:line="240" w:lineRule="auto"/>
      <w:outlineLvl w:val="6"/>
    </w:pPr>
    <w:rPr>
      <w:rFonts w:ascii="Times New Roman" w:eastAsia="Times New Roman" w:hAnsi="Times New Roman" w:cs="Times New Roman"/>
      <w:sz w:val="24"/>
      <w:szCs w:val="24"/>
      <w:lang w:eastAsia="en-CA"/>
    </w:rPr>
  </w:style>
  <w:style w:type="paragraph" w:styleId="Heading8">
    <w:name w:val="heading 8"/>
    <w:basedOn w:val="Normal"/>
    <w:next w:val="Normal"/>
    <w:link w:val="Heading8Char"/>
    <w:qFormat/>
    <w:rsid w:val="00007B4E"/>
    <w:pPr>
      <w:numPr>
        <w:ilvl w:val="7"/>
        <w:numId w:val="2"/>
      </w:numPr>
      <w:spacing w:before="240" w:after="60" w:line="240" w:lineRule="auto"/>
      <w:outlineLvl w:val="7"/>
    </w:pPr>
    <w:rPr>
      <w:rFonts w:ascii="Times New Roman" w:eastAsia="Times New Roman" w:hAnsi="Times New Roman" w:cs="Times New Roman"/>
      <w:i/>
      <w:iCs/>
      <w:sz w:val="24"/>
      <w:szCs w:val="24"/>
      <w:lang w:eastAsia="en-CA"/>
    </w:rPr>
  </w:style>
  <w:style w:type="paragraph" w:styleId="Heading9">
    <w:name w:val="heading 9"/>
    <w:basedOn w:val="Normal"/>
    <w:next w:val="Normal"/>
    <w:link w:val="Heading9Char"/>
    <w:qFormat/>
    <w:rsid w:val="00007B4E"/>
    <w:pPr>
      <w:numPr>
        <w:ilvl w:val="8"/>
        <w:numId w:val="2"/>
      </w:numPr>
      <w:spacing w:before="240" w:after="60" w:line="240" w:lineRule="auto"/>
      <w:outlineLvl w:val="8"/>
    </w:pPr>
    <w:rPr>
      <w:rFonts w:ascii="Arial" w:eastAsia="Times New Roman" w:hAnsi="Arial" w:cs="Arial"/>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7D7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7D75"/>
    <w:rPr>
      <w:rFonts w:ascii="Tahoma" w:hAnsi="Tahoma" w:cs="Tahoma"/>
      <w:sz w:val="16"/>
      <w:szCs w:val="16"/>
    </w:rPr>
  </w:style>
  <w:style w:type="paragraph" w:styleId="Header">
    <w:name w:val="header"/>
    <w:basedOn w:val="Normal"/>
    <w:link w:val="HeaderChar"/>
    <w:uiPriority w:val="99"/>
    <w:unhideWhenUsed/>
    <w:rsid w:val="00B97D7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7D75"/>
  </w:style>
  <w:style w:type="paragraph" w:styleId="Footer">
    <w:name w:val="footer"/>
    <w:basedOn w:val="Normal"/>
    <w:link w:val="FooterChar"/>
    <w:uiPriority w:val="99"/>
    <w:unhideWhenUsed/>
    <w:rsid w:val="00B97D7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7D75"/>
  </w:style>
  <w:style w:type="character" w:customStyle="1" w:styleId="Heading1Char">
    <w:name w:val="Heading 1 Char"/>
    <w:basedOn w:val="DefaultParagraphFont"/>
    <w:uiPriority w:val="9"/>
    <w:rsid w:val="00007B4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007B4E"/>
    <w:rPr>
      <w:rFonts w:ascii="Arial" w:eastAsia="Times New Roman" w:hAnsi="Arial" w:cs="Arial"/>
      <w:b/>
      <w:bCs/>
      <w:i/>
      <w:iCs/>
      <w:sz w:val="28"/>
      <w:szCs w:val="28"/>
      <w:lang w:eastAsia="en-CA"/>
    </w:rPr>
  </w:style>
  <w:style w:type="character" w:customStyle="1" w:styleId="Heading3Char">
    <w:name w:val="Heading 3 Char"/>
    <w:basedOn w:val="DefaultParagraphFont"/>
    <w:link w:val="Heading3"/>
    <w:rsid w:val="00007B4E"/>
    <w:rPr>
      <w:rFonts w:ascii="Arial" w:eastAsia="Times New Roman" w:hAnsi="Arial" w:cs="Arial"/>
      <w:b/>
      <w:bCs/>
      <w:sz w:val="26"/>
      <w:szCs w:val="26"/>
      <w:lang w:eastAsia="en-CA"/>
    </w:rPr>
  </w:style>
  <w:style w:type="character" w:customStyle="1" w:styleId="Heading4Char">
    <w:name w:val="Heading 4 Char"/>
    <w:basedOn w:val="DefaultParagraphFont"/>
    <w:link w:val="Heading4"/>
    <w:rsid w:val="00007B4E"/>
    <w:rPr>
      <w:rFonts w:ascii="Times New Roman" w:eastAsia="Times New Roman" w:hAnsi="Times New Roman" w:cs="Times New Roman"/>
      <w:b/>
      <w:bCs/>
      <w:sz w:val="28"/>
      <w:szCs w:val="28"/>
      <w:lang w:eastAsia="en-CA"/>
    </w:rPr>
  </w:style>
  <w:style w:type="character" w:customStyle="1" w:styleId="Heading5Char">
    <w:name w:val="Heading 5 Char"/>
    <w:basedOn w:val="DefaultParagraphFont"/>
    <w:link w:val="Heading5"/>
    <w:rsid w:val="00007B4E"/>
    <w:rPr>
      <w:rFonts w:ascii="Times New Roman" w:eastAsia="Times New Roman" w:hAnsi="Times New Roman" w:cs="Times New Roman"/>
      <w:b/>
      <w:bCs/>
      <w:i/>
      <w:iCs/>
      <w:sz w:val="26"/>
      <w:szCs w:val="26"/>
      <w:lang w:eastAsia="en-CA"/>
    </w:rPr>
  </w:style>
  <w:style w:type="character" w:customStyle="1" w:styleId="Heading6Char">
    <w:name w:val="Heading 6 Char"/>
    <w:basedOn w:val="DefaultParagraphFont"/>
    <w:link w:val="Heading6"/>
    <w:rsid w:val="00007B4E"/>
    <w:rPr>
      <w:rFonts w:ascii="Times New Roman" w:eastAsia="Times New Roman" w:hAnsi="Times New Roman" w:cs="Times New Roman"/>
      <w:b/>
      <w:bCs/>
      <w:lang w:eastAsia="en-CA"/>
    </w:rPr>
  </w:style>
  <w:style w:type="character" w:customStyle="1" w:styleId="Heading7Char">
    <w:name w:val="Heading 7 Char"/>
    <w:basedOn w:val="DefaultParagraphFont"/>
    <w:link w:val="Heading7"/>
    <w:rsid w:val="00007B4E"/>
    <w:rPr>
      <w:rFonts w:ascii="Times New Roman" w:eastAsia="Times New Roman" w:hAnsi="Times New Roman" w:cs="Times New Roman"/>
      <w:sz w:val="24"/>
      <w:szCs w:val="24"/>
      <w:lang w:eastAsia="en-CA"/>
    </w:rPr>
  </w:style>
  <w:style w:type="character" w:customStyle="1" w:styleId="Heading8Char">
    <w:name w:val="Heading 8 Char"/>
    <w:basedOn w:val="DefaultParagraphFont"/>
    <w:link w:val="Heading8"/>
    <w:rsid w:val="00007B4E"/>
    <w:rPr>
      <w:rFonts w:ascii="Times New Roman" w:eastAsia="Times New Roman" w:hAnsi="Times New Roman" w:cs="Times New Roman"/>
      <w:i/>
      <w:iCs/>
      <w:sz w:val="24"/>
      <w:szCs w:val="24"/>
      <w:lang w:eastAsia="en-CA"/>
    </w:rPr>
  </w:style>
  <w:style w:type="character" w:customStyle="1" w:styleId="Heading9Char">
    <w:name w:val="Heading 9 Char"/>
    <w:basedOn w:val="DefaultParagraphFont"/>
    <w:link w:val="Heading9"/>
    <w:rsid w:val="00007B4E"/>
    <w:rPr>
      <w:rFonts w:ascii="Arial" w:eastAsia="Times New Roman" w:hAnsi="Arial" w:cs="Arial"/>
      <w:lang w:eastAsia="en-CA"/>
    </w:rPr>
  </w:style>
  <w:style w:type="character" w:styleId="Hyperlink">
    <w:name w:val="Hyperlink"/>
    <w:basedOn w:val="DefaultParagraphFont"/>
    <w:uiPriority w:val="99"/>
    <w:unhideWhenUsed/>
    <w:rsid w:val="00007B4E"/>
    <w:rPr>
      <w:color w:val="0000FF"/>
      <w:u w:val="single"/>
    </w:rPr>
  </w:style>
  <w:style w:type="paragraph" w:styleId="ListParagraph">
    <w:name w:val="List Paragraph"/>
    <w:basedOn w:val="Normal"/>
    <w:uiPriority w:val="34"/>
    <w:qFormat/>
    <w:rsid w:val="00007B4E"/>
    <w:pPr>
      <w:ind w:left="720"/>
      <w:contextualSpacing/>
    </w:pPr>
  </w:style>
  <w:style w:type="character" w:customStyle="1" w:styleId="Heading1Char1">
    <w:name w:val="Heading 1 Char1"/>
    <w:link w:val="Heading1"/>
    <w:rsid w:val="00007B4E"/>
    <w:rPr>
      <w:rFonts w:ascii="Arial" w:eastAsia="Times New Roman" w:hAnsi="Arial" w:cs="Arial"/>
      <w:b/>
      <w:bCs/>
      <w:kern w:val="32"/>
      <w:sz w:val="32"/>
      <w:szCs w:val="32"/>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pr-rp.hc-sc.gc.ca/mrl-lrm/index-eng.php"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eclaira\AppData\Roaming\OpenText\DM\Temp\CFIA_ACIA-%238634393-v1-Graphs_for_Glyphosate_Interim_Repor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eclaira\AppData\Roaming\OpenText\DM\Temp\CFIA_ACIA-%238634393-v1-Graphs_for_Glyphosate_Interim_Report.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eclaira\AppData\Roaming\OpenText\DM\Temp\CFIA_ACIA-%238634393-v1-Graphs_for_Glyphosate_Interim_Repor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spPr>
            <a:solidFill>
              <a:schemeClr val="accent3"/>
            </a:solidFill>
          </c:spPr>
          <c:explosion val="25"/>
          <c:dPt>
            <c:idx val="0"/>
            <c:bubble3D val="0"/>
            <c:spPr>
              <a:solidFill>
                <a:schemeClr val="accent1"/>
              </a:solidFill>
            </c:spPr>
          </c:dPt>
          <c:dLbls>
            <c:dLbl>
              <c:idx val="0"/>
              <c:layout>
                <c:manualLayout>
                  <c:x val="-7.8970253718285213E-2"/>
                  <c:y val="-0.24"/>
                </c:manualLayout>
              </c:layout>
              <c:showLegendKey val="0"/>
              <c:showVal val="0"/>
              <c:showCatName val="1"/>
              <c:showSerName val="0"/>
              <c:showPercent val="1"/>
              <c:showBubbleSize val="0"/>
            </c:dLbl>
            <c:dLbl>
              <c:idx val="2"/>
              <c:delete val="1"/>
            </c:dLbl>
            <c:showLegendKey val="0"/>
            <c:showVal val="0"/>
            <c:showCatName val="1"/>
            <c:showSerName val="0"/>
            <c:showPercent val="1"/>
            <c:showBubbleSize val="0"/>
            <c:showLeaderLines val="1"/>
          </c:dLbls>
          <c:cat>
            <c:strRef>
              <c:f>Sheet1!$G$11:$I$11</c:f>
              <c:strCache>
                <c:ptCount val="3"/>
                <c:pt idx="0">
                  <c:v>Not detected</c:v>
                </c:pt>
                <c:pt idx="1">
                  <c:v>Below MRLs</c:v>
                </c:pt>
                <c:pt idx="2">
                  <c:v>Above MRLs</c:v>
                </c:pt>
              </c:strCache>
            </c:strRef>
          </c:cat>
          <c:val>
            <c:numRef>
              <c:f>Sheet1!$G$12:$I$12</c:f>
              <c:numCache>
                <c:formatCode>0.0%</c:formatCode>
                <c:ptCount val="3"/>
                <c:pt idx="0">
                  <c:v>0.91078838174273857</c:v>
                </c:pt>
                <c:pt idx="1">
                  <c:v>8.9211618257261427E-2</c:v>
                </c:pt>
                <c:pt idx="2">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1"/>
            <c:bubble3D val="0"/>
            <c:spPr>
              <a:solidFill>
                <a:schemeClr val="accent3"/>
              </a:solidFill>
            </c:spPr>
          </c:dPt>
          <c:dPt>
            <c:idx val="2"/>
            <c:bubble3D val="0"/>
            <c:spPr>
              <a:solidFill>
                <a:schemeClr val="accent6"/>
              </a:solidFill>
            </c:spPr>
          </c:dPt>
          <c:dLbls>
            <c:dLbl>
              <c:idx val="0"/>
              <c:layout>
                <c:manualLayout>
                  <c:x val="-0.24047448882835823"/>
                  <c:y val="-0.12880805944033116"/>
                </c:manualLayout>
              </c:layout>
              <c:showLegendKey val="0"/>
              <c:showVal val="0"/>
              <c:showCatName val="1"/>
              <c:showSerName val="0"/>
              <c:showPercent val="1"/>
              <c:showBubbleSize val="0"/>
            </c:dLbl>
            <c:dLbl>
              <c:idx val="1"/>
              <c:layout>
                <c:manualLayout>
                  <c:x val="0.20721805928990628"/>
                  <c:y val="0.10635818099830033"/>
                </c:manualLayout>
              </c:layout>
              <c:showLegendKey val="0"/>
              <c:showVal val="0"/>
              <c:showCatName val="1"/>
              <c:showSerName val="0"/>
              <c:showPercent val="1"/>
              <c:showBubbleSize val="0"/>
            </c:dLbl>
            <c:dLbl>
              <c:idx val="2"/>
              <c:layout>
                <c:manualLayout>
                  <c:x val="0.10435265975326262"/>
                  <c:y val="0"/>
                </c:manualLayout>
              </c:layout>
              <c:showLegendKey val="0"/>
              <c:showVal val="0"/>
              <c:showCatName val="1"/>
              <c:showSerName val="0"/>
              <c:showPercent val="1"/>
              <c:showBubbleSize val="0"/>
            </c:dLbl>
            <c:showLegendKey val="0"/>
            <c:showVal val="0"/>
            <c:showCatName val="1"/>
            <c:showSerName val="0"/>
            <c:showPercent val="1"/>
            <c:showBubbleSize val="0"/>
            <c:showLeaderLines val="1"/>
          </c:dLbls>
          <c:cat>
            <c:strRef>
              <c:f>Sheet1!$G$11:$I$11</c:f>
              <c:strCache>
                <c:ptCount val="3"/>
                <c:pt idx="0">
                  <c:v>Not detected</c:v>
                </c:pt>
                <c:pt idx="1">
                  <c:v>Below MRLs</c:v>
                </c:pt>
                <c:pt idx="2">
                  <c:v>Above MRLs</c:v>
                </c:pt>
              </c:strCache>
            </c:strRef>
          </c:cat>
          <c:val>
            <c:numRef>
              <c:f>Sheet1!$G$13:$I$13</c:f>
              <c:numCache>
                <c:formatCode>0.0%</c:formatCode>
                <c:ptCount val="3"/>
                <c:pt idx="0">
                  <c:v>0.66359631557869447</c:v>
                </c:pt>
                <c:pt idx="1">
                  <c:v>0.32038446135362431</c:v>
                </c:pt>
                <c:pt idx="2">
                  <c:v>1.6019223067681217E-2</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C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explosion val="25"/>
          <c:dPt>
            <c:idx val="1"/>
            <c:bubble3D val="0"/>
            <c:spPr>
              <a:solidFill>
                <a:schemeClr val="accent3"/>
              </a:solidFill>
            </c:spPr>
          </c:dPt>
          <c:dLbls>
            <c:dLbl>
              <c:idx val="0"/>
              <c:layout>
                <c:manualLayout>
                  <c:x val="-0.23646908719743365"/>
                  <c:y val="-0.16539243059920769"/>
                </c:manualLayout>
              </c:layout>
              <c:showLegendKey val="0"/>
              <c:showVal val="0"/>
              <c:showCatName val="1"/>
              <c:showSerName val="0"/>
              <c:showPercent val="1"/>
              <c:showBubbleSize val="0"/>
            </c:dLbl>
            <c:dLbl>
              <c:idx val="1"/>
              <c:layout>
                <c:manualLayout>
                  <c:x val="0.18265875619714203"/>
                  <c:y val="0.14570742647131468"/>
                </c:manualLayout>
              </c:layout>
              <c:showLegendKey val="0"/>
              <c:showVal val="0"/>
              <c:showCatName val="1"/>
              <c:showSerName val="0"/>
              <c:showPercent val="1"/>
              <c:showBubbleSize val="0"/>
            </c:dLbl>
            <c:dLbl>
              <c:idx val="2"/>
              <c:delete val="1"/>
            </c:dLbl>
            <c:showLegendKey val="0"/>
            <c:showVal val="0"/>
            <c:showCatName val="1"/>
            <c:showSerName val="0"/>
            <c:showPercent val="1"/>
            <c:showBubbleSize val="0"/>
            <c:showLeaderLines val="1"/>
          </c:dLbls>
          <c:cat>
            <c:strRef>
              <c:f>Sheet1!$G$11:$I$11</c:f>
              <c:strCache>
                <c:ptCount val="3"/>
                <c:pt idx="0">
                  <c:v>Not detected</c:v>
                </c:pt>
                <c:pt idx="1">
                  <c:v>Below MRLs</c:v>
                </c:pt>
                <c:pt idx="2">
                  <c:v>Above MRLs</c:v>
                </c:pt>
              </c:strCache>
            </c:strRef>
          </c:cat>
          <c:val>
            <c:numRef>
              <c:f>Sheet1!$G$14:$I$14</c:f>
              <c:numCache>
                <c:formatCode>0.0%</c:formatCode>
                <c:ptCount val="3"/>
                <c:pt idx="0">
                  <c:v>0.68899521531100483</c:v>
                </c:pt>
                <c:pt idx="1">
                  <c:v>0.31100478468899517</c:v>
                </c:pt>
                <c:pt idx="2">
                  <c:v>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E08E17-DE2E-42D9-82A4-9E42233A7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741</Words>
  <Characters>4224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AAFC-AAC</Company>
  <LinksUpToDate>false</LinksUpToDate>
  <CharactersWithSpaces>4956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Katelyn Southern</dc:creator>
  <cp:keywords/>
  <dc:description/>
  <cp:lastModifiedBy>Van de Riet, Jeffrey</cp:lastModifiedBy>
  <cp:revision>6</cp:revision>
  <dcterms:created xsi:type="dcterms:W3CDTF">2017-02-28T19:39:00Z</dcterms:created>
  <dcterms:modified xsi:type="dcterms:W3CDTF">2017-03-21T12:39:00Z</dcterms:modified>
</cp:coreProperties>
</file>